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rPr>
          <w:sz w:val="20"/>
          <w:szCs w:val="20"/>
          <w:color w:val="auto"/>
        </w:rPr>
      </w:pPr>
      <w:r>
        <w:rPr>
          <w:rFonts w:ascii="Times New Roman" w:cs="Times New Roman" w:eastAsia="Times New Roman" w:hAnsi="Times New Roman"/>
          <w:sz w:val="20"/>
          <w:szCs w:val="20"/>
          <w:color w:val="auto"/>
        </w:rPr>
        <w:drawing>
          <wp:anchor simplePos="0" relativeHeight="251657728" behindDoc="1" locked="0" layoutInCell="0" allowOverlap="1">
            <wp:simplePos x="0" y="0"/>
            <wp:positionH relativeFrom="page">
              <wp:posOffset>0</wp:posOffset>
            </wp:positionH>
            <wp:positionV relativeFrom="page">
              <wp:posOffset>0</wp:posOffset>
            </wp:positionV>
            <wp:extent cx="1966595" cy="1024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1966595" cy="1024255"/>
                    </a:xfrm>
                    <a:prstGeom prst="rect">
                      <a:avLst/>
                    </a:prstGeom>
                    <a:noFill/>
                  </pic:spPr>
                </pic:pic>
              </a:graphicData>
            </a:graphic>
          </wp:anchor>
        </w:drawing>
        <w:t>Cabildo Insular de La Palma</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62" w:lineRule="exact"/>
        <w:rPr>
          <w:sz w:val="24"/>
          <w:szCs w:val="24"/>
          <w:color w:val="auto"/>
        </w:rPr>
      </w:pPr>
    </w:p>
    <w:p>
      <w:pPr>
        <w:ind w:left="120" w:right="480"/>
        <w:spacing w:after="0" w:line="225" w:lineRule="auto"/>
        <w:rPr>
          <w:sz w:val="20"/>
          <w:szCs w:val="20"/>
          <w:color w:val="auto"/>
        </w:rPr>
      </w:pPr>
      <w:r>
        <w:rPr>
          <w:rFonts w:ascii="Arial" w:cs="Arial" w:eastAsia="Arial" w:hAnsi="Arial"/>
          <w:sz w:val="20"/>
          <w:szCs w:val="20"/>
          <w:color w:val="auto"/>
        </w:rPr>
        <w:t>CABILDO DE LA PALMA REGISTRO DE SALIDA Fecha de registro: 22/04/2020 Número de registro: 2020005307</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55" w:lineRule="exact"/>
        <w:rPr>
          <w:sz w:val="24"/>
          <w:szCs w:val="24"/>
          <w:color w:val="auto"/>
        </w:rPr>
      </w:pPr>
    </w:p>
    <w:p>
      <w:pPr>
        <w:ind w:left="2340" w:right="320" w:hanging="1679"/>
        <w:spacing w:after="0" w:line="250" w:lineRule="auto"/>
        <w:tabs>
          <w:tab w:leader="none" w:pos="2320" w:val="left"/>
        </w:tabs>
        <w:rPr>
          <w:sz w:val="20"/>
          <w:szCs w:val="20"/>
          <w:color w:val="auto"/>
        </w:rPr>
      </w:pPr>
      <w:r>
        <w:rPr>
          <w:rFonts w:ascii="Arial" w:cs="Arial" w:eastAsia="Arial" w:hAnsi="Arial"/>
          <w:sz w:val="24"/>
          <w:szCs w:val="24"/>
          <w:b w:val="1"/>
          <w:bCs w:val="1"/>
          <w:color w:val="auto"/>
        </w:rPr>
        <w:t>Destinatario:</w:t>
        <w:tab/>
        <w:t>ASOC. DE FAMILIARES DE ENFERMOS DE ALZHEIMER Y</w:t>
      </w:r>
    </w:p>
    <w:p>
      <w:pPr>
        <w:spacing w:after="0" w:line="1" w:lineRule="exact"/>
        <w:rPr>
          <w:sz w:val="24"/>
          <w:szCs w:val="24"/>
          <w:color w:val="auto"/>
        </w:rPr>
      </w:pPr>
    </w:p>
    <w:p>
      <w:pPr>
        <w:ind w:left="2340" w:right="560" w:hanging="1379"/>
        <w:spacing w:after="0"/>
        <w:tabs>
          <w:tab w:leader="none" w:pos="2320" w:val="left"/>
        </w:tabs>
        <w:rPr>
          <w:sz w:val="20"/>
          <w:szCs w:val="20"/>
          <w:color w:val="auto"/>
        </w:rPr>
      </w:pPr>
      <w:r>
        <w:rPr>
          <w:rFonts w:ascii="Arial" w:cs="Arial" w:eastAsia="Arial" w:hAnsi="Arial"/>
          <w:sz w:val="24"/>
          <w:szCs w:val="24"/>
          <w:b w:val="1"/>
          <w:bCs w:val="1"/>
          <w:color w:val="auto"/>
        </w:rPr>
        <w:t>Dirección:</w:t>
        <w:tab/>
        <w:t>AVDA. EUSEBIO BARRETO, 59 LOCAL 4</w:t>
      </w:r>
    </w:p>
    <w:p>
      <w:pPr>
        <w:ind w:left="2340"/>
        <w:spacing w:after="0"/>
        <w:rPr>
          <w:sz w:val="20"/>
          <w:szCs w:val="20"/>
          <w:color w:val="auto"/>
        </w:rPr>
      </w:pPr>
      <w:r>
        <w:rPr>
          <w:rFonts w:ascii="Arial" w:cs="Arial" w:eastAsia="Arial" w:hAnsi="Arial"/>
          <w:sz w:val="24"/>
          <w:szCs w:val="24"/>
          <w:b w:val="1"/>
          <w:bCs w:val="1"/>
          <w:color w:val="auto"/>
        </w:rPr>
        <w:t>38760 LLANOS DE ARIDANE</w:t>
      </w:r>
    </w:p>
    <w:p>
      <w:pPr>
        <w:ind w:left="2340"/>
        <w:spacing w:after="0"/>
        <w:rPr>
          <w:sz w:val="20"/>
          <w:szCs w:val="20"/>
          <w:color w:val="auto"/>
        </w:rPr>
      </w:pPr>
      <w:r>
        <w:rPr>
          <w:rFonts w:ascii="Arial" w:cs="Arial" w:eastAsia="Arial" w:hAnsi="Arial"/>
          <w:sz w:val="24"/>
          <w:szCs w:val="24"/>
          <w:b w:val="1"/>
          <w:bCs w:val="1"/>
          <w:color w:val="auto"/>
        </w:rPr>
        <w:t>(LOS)</w:t>
      </w:r>
    </w:p>
    <w:p>
      <w:pPr>
        <w:ind w:left="2340"/>
        <w:spacing w:after="0"/>
        <w:rPr>
          <w:sz w:val="20"/>
          <w:szCs w:val="20"/>
          <w:color w:val="auto"/>
        </w:rPr>
      </w:pPr>
      <w:r>
        <w:rPr>
          <w:rFonts w:ascii="Arial" w:cs="Arial" w:eastAsia="Arial" w:hAnsi="Arial"/>
          <w:sz w:val="24"/>
          <w:szCs w:val="24"/>
          <w:b w:val="1"/>
          <w:bCs w:val="1"/>
          <w:color w:val="auto"/>
        </w:rPr>
        <w:t>S C TENERIFE</w:t>
      </w:r>
    </w:p>
    <w:p>
      <w:pPr>
        <w:spacing w:after="0"/>
        <w:tabs>
          <w:tab w:leader="none" w:pos="2320" w:val="left"/>
        </w:tabs>
        <w:rPr>
          <w:sz w:val="20"/>
          <w:szCs w:val="20"/>
          <w:color w:val="auto"/>
        </w:rPr>
      </w:pPr>
      <w:r>
        <w:rPr>
          <w:rFonts w:ascii="Arial" w:cs="Arial" w:eastAsia="Arial" w:hAnsi="Arial"/>
          <w:sz w:val="24"/>
          <w:szCs w:val="24"/>
          <w:b w:val="1"/>
          <w:bCs w:val="1"/>
          <w:color w:val="auto"/>
        </w:rPr>
        <w:t>Núm. notificación:</w:t>
        <w:tab/>
        <w:t>CA/00000110/0001/000022052</w:t>
      </w:r>
    </w:p>
    <w:p>
      <w:pPr>
        <w:spacing w:after="0" w:line="200" w:lineRule="exact"/>
        <w:rPr>
          <w:sz w:val="24"/>
          <w:szCs w:val="24"/>
          <w:color w:val="auto"/>
        </w:rPr>
      </w:pPr>
    </w:p>
    <w:p>
      <w:pPr>
        <w:spacing w:after="0" w:line="283" w:lineRule="exact"/>
        <w:rPr>
          <w:sz w:val="24"/>
          <w:szCs w:val="24"/>
          <w:color w:val="auto"/>
        </w:rPr>
      </w:pPr>
    </w:p>
    <w:p>
      <w:pPr>
        <w:ind w:left="500"/>
        <w:spacing w:after="0"/>
        <w:rPr>
          <w:sz w:val="20"/>
          <w:szCs w:val="20"/>
          <w:color w:val="auto"/>
        </w:rPr>
      </w:pPr>
      <w:r>
        <w:rPr>
          <w:rFonts w:ascii="Arial" w:cs="Arial" w:eastAsia="Arial" w:hAnsi="Arial"/>
          <w:sz w:val="22"/>
          <w:szCs w:val="22"/>
          <w:b w:val="1"/>
          <w:bCs w:val="1"/>
          <w:color w:val="auto"/>
        </w:rPr>
        <w:t>NOTIFICACIÓN</w:t>
      </w:r>
    </w:p>
    <w:p>
      <w:pPr>
        <w:spacing w:after="0" w:line="200" w:lineRule="exact"/>
        <w:rPr>
          <w:sz w:val="24"/>
          <w:szCs w:val="24"/>
          <w:color w:val="auto"/>
        </w:rPr>
      </w:pPr>
    </w:p>
    <w:p>
      <w:pPr>
        <w:sectPr>
          <w:pgSz w:w="11900" w:h="16838" w:orient="portrait"/>
          <w:cols w:equalWidth="0" w:num="2">
            <w:col w:w="3540" w:space="720"/>
            <w:col w:w="6120"/>
          </w:cols>
          <w:pgMar w:left="400" w:top="1230" w:right="1126" w:bottom="0" w:gutter="0" w:footer="0" w:header="0"/>
        </w:sectPr>
      </w:pPr>
    </w:p>
    <w:p>
      <w:pPr>
        <w:spacing w:after="0" w:line="53" w:lineRule="exact"/>
        <w:rPr>
          <w:sz w:val="24"/>
          <w:szCs w:val="24"/>
          <w:color w:val="auto"/>
        </w:rPr>
      </w:pPr>
    </w:p>
    <w:p>
      <w:pPr>
        <w:ind w:left="740" w:right="460" w:firstLine="709"/>
        <w:spacing w:after="0" w:line="276" w:lineRule="auto"/>
        <w:rPr>
          <w:sz w:val="20"/>
          <w:szCs w:val="20"/>
          <w:color w:val="auto"/>
        </w:rPr>
      </w:pPr>
      <w:r>
        <w:rPr>
          <w:rFonts w:ascii="Arial" w:cs="Arial" w:eastAsia="Arial" w:hAnsi="Arial"/>
          <w:sz w:val="22"/>
          <w:szCs w:val="22"/>
          <w:color w:val="auto"/>
        </w:rPr>
        <w:t>Por medio del presente escrito le comunico que el/la Sr./Sra. Consejero/a ha dictado la siguiente:</w:t>
      </w:r>
    </w:p>
    <w:p>
      <w:pPr>
        <w:spacing w:after="0" w:line="177" w:lineRule="exact"/>
        <w:rPr>
          <w:sz w:val="24"/>
          <w:szCs w:val="24"/>
          <w:color w:val="auto"/>
        </w:rPr>
      </w:pPr>
    </w:p>
    <w:p>
      <w:pPr>
        <w:ind w:left="3220"/>
        <w:spacing w:after="0"/>
        <w:rPr>
          <w:sz w:val="20"/>
          <w:szCs w:val="20"/>
          <w:color w:val="auto"/>
        </w:rPr>
      </w:pPr>
      <w:r>
        <w:rPr>
          <w:rFonts w:ascii="Arial" w:cs="Arial" w:eastAsia="Arial" w:hAnsi="Arial"/>
          <w:sz w:val="22"/>
          <w:szCs w:val="22"/>
          <w:b w:val="1"/>
          <w:bCs w:val="1"/>
          <w:color w:val="auto"/>
        </w:rPr>
        <w:t>RESOLUCIÓN 2020/2749 de fecha 17/04/2020</w:t>
      </w:r>
    </w:p>
    <w:p>
      <w:pPr>
        <w:spacing w:after="0" w:line="253" w:lineRule="exact"/>
        <w:rPr>
          <w:sz w:val="24"/>
          <w:szCs w:val="24"/>
          <w:color w:val="auto"/>
        </w:rPr>
      </w:pPr>
    </w:p>
    <w:p>
      <w:pPr>
        <w:ind w:left="1440"/>
        <w:spacing w:after="0"/>
        <w:rPr>
          <w:sz w:val="20"/>
          <w:szCs w:val="20"/>
          <w:color w:val="auto"/>
        </w:rPr>
      </w:pPr>
      <w:r>
        <w:rPr>
          <w:rFonts w:ascii="Arial" w:cs="Arial" w:eastAsia="Arial" w:hAnsi="Arial"/>
          <w:sz w:val="22"/>
          <w:szCs w:val="22"/>
          <w:color w:val="auto"/>
        </w:rPr>
        <w:t>Visto el expediente referenciado y atendiendo a los siguientes:</w:t>
      </w:r>
    </w:p>
    <w:p>
      <w:pPr>
        <w:spacing w:after="0" w:line="200" w:lineRule="exact"/>
        <w:rPr>
          <w:sz w:val="24"/>
          <w:szCs w:val="24"/>
          <w:color w:val="auto"/>
        </w:rPr>
      </w:pPr>
    </w:p>
    <w:p>
      <w:pPr>
        <w:spacing w:after="0" w:line="306" w:lineRule="exact"/>
        <w:rPr>
          <w:sz w:val="24"/>
          <w:szCs w:val="24"/>
          <w:color w:val="auto"/>
        </w:rPr>
      </w:pPr>
    </w:p>
    <w:p>
      <w:pPr>
        <w:jc w:val="center"/>
        <w:ind w:right="-739"/>
        <w:spacing w:after="0"/>
        <w:rPr>
          <w:sz w:val="20"/>
          <w:szCs w:val="20"/>
          <w:color w:val="auto"/>
        </w:rPr>
      </w:pPr>
      <w:r>
        <w:rPr>
          <w:rFonts w:ascii="Arial" w:cs="Arial" w:eastAsia="Arial" w:hAnsi="Arial"/>
          <w:sz w:val="22"/>
          <w:szCs w:val="22"/>
          <w:b w:val="1"/>
          <w:bCs w:val="1"/>
          <w:color w:val="auto"/>
        </w:rPr>
        <w:t>ANTECEDENTES</w:t>
      </w:r>
    </w:p>
    <w:p>
      <w:pPr>
        <w:spacing w:after="0" w:line="253" w:lineRule="exact"/>
        <w:rPr>
          <w:sz w:val="24"/>
          <w:szCs w:val="24"/>
          <w:color w:val="auto"/>
        </w:rPr>
      </w:pPr>
    </w:p>
    <w:p>
      <w:pPr>
        <w:jc w:val="both"/>
        <w:ind w:left="740"/>
        <w:spacing w:after="0" w:line="242" w:lineRule="auto"/>
        <w:rPr>
          <w:sz w:val="20"/>
          <w:szCs w:val="20"/>
          <w:color w:val="auto"/>
        </w:rPr>
      </w:pPr>
      <w:r>
        <w:rPr>
          <w:rFonts w:ascii="Arial" w:cs="Arial" w:eastAsia="Arial" w:hAnsi="Arial"/>
          <w:sz w:val="22"/>
          <w:szCs w:val="22"/>
          <w:color w:val="auto"/>
        </w:rPr>
        <w:t>Vista la documentación presentada a través del Registro de Entrada de este Excmo Cabildo Insular de La Palma en fecha 25 de marzo de 2020 con Registro de Entrada número 2020007956, así como documentación de subsanación aportada en fecha 02 de abril de 2020, con Registro de Entrada número 2020008144, aportando la documentación correspondiente a la subvención contemplada en el Presupuesto General del Excmo. Cabildo Insular de La Palma para el ejercicio 2020 para la prestación del servicio de promoción de autonomía personal, por un importe de 261.600,00 €, solicitando además el abono anticipado de la misma y la exención en la presentación de garantías y con el compromiso de la posterior justificación, de acuerdo con la memoria que adjunta.</w:t>
      </w:r>
    </w:p>
    <w:p>
      <w:pPr>
        <w:spacing w:after="0" w:line="3" w:lineRule="exact"/>
        <w:rPr>
          <w:sz w:val="24"/>
          <w:szCs w:val="24"/>
          <w:color w:val="auto"/>
        </w:rPr>
      </w:pPr>
    </w:p>
    <w:p>
      <w:pPr>
        <w:jc w:val="both"/>
        <w:ind w:left="740"/>
        <w:spacing w:after="0" w:line="243" w:lineRule="auto"/>
        <w:rPr>
          <w:sz w:val="20"/>
          <w:szCs w:val="20"/>
          <w:color w:val="auto"/>
        </w:rPr>
      </w:pPr>
      <w:r>
        <w:rPr>
          <w:rFonts w:ascii="Arial" w:cs="Arial" w:eastAsia="Arial" w:hAnsi="Arial"/>
          <w:sz w:val="22"/>
          <w:szCs w:val="22"/>
          <w:color w:val="auto"/>
        </w:rPr>
        <w:t>La Asociación de Familiares de Enfermos de Alzheimer y otras demencias de La Palma (AFA La Palma) ofrece un servicio de promoción de la autonomía personal para atender necesidades específicas de personas reconocidas como dependientes, en orden a la normalización de sus condiciones de vida, permitiendo el mantenimiento de su nivel de autonomía personal a la par que la permanencia en su entorno y ambiente familiar. El número de personas usuarias de este servicio será como máximo de 50.</w:t>
      </w:r>
    </w:p>
    <w:p>
      <w:pPr>
        <w:spacing w:after="0" w:line="212" w:lineRule="exact"/>
        <w:rPr>
          <w:sz w:val="24"/>
          <w:szCs w:val="24"/>
          <w:color w:val="auto"/>
        </w:rPr>
      </w:pPr>
    </w:p>
    <w:p>
      <w:pPr>
        <w:jc w:val="both"/>
        <w:ind w:left="740"/>
        <w:spacing w:after="0" w:line="244" w:lineRule="auto"/>
        <w:rPr>
          <w:sz w:val="20"/>
          <w:szCs w:val="20"/>
          <w:color w:val="auto"/>
        </w:rPr>
      </w:pPr>
      <w:r>
        <w:rPr>
          <w:rFonts w:ascii="Arial" w:cs="Arial" w:eastAsia="Arial" w:hAnsi="Arial"/>
          <w:sz w:val="22"/>
          <w:szCs w:val="22"/>
          <w:color w:val="auto"/>
        </w:rPr>
        <w:t>Visto que el Real Decreto 463/2020, de 14 de marzo, (BOE nº 67 de 14 de marzo) por el que se declara el estado de alarma para la gestión de la situación de crisis sanitaria ocasionada por el COVID-19, modificado por el RD 465/2020 de 17 de marzo, establece en su Disposición Adicional Tercera la suspensión de los términos y la interrupción de los plazos para la tramitación de los procedimientos de las entidades del sector público (definido en la Ley 39/2015, de 1 de octubre, del Procedimiento Administrativo Común de las Administraciones Públicas). Visto que el apartado 3 y 4 de dicha disposición adicional prevé textualmente que “3.- No obstante lo anterior, el órgano competente podrá acordar, mediante resolución motivada, las medidas de ordenación e instrucción estrictamente necesarias para evitar perjuicios graves en los derechos e intereses del</w:t>
      </w:r>
    </w:p>
    <w:p>
      <w:pPr>
        <w:spacing w:after="0" w:line="191" w:lineRule="exact"/>
        <w:rPr>
          <w:sz w:val="24"/>
          <w:szCs w:val="24"/>
          <w:color w:val="auto"/>
        </w:rPr>
      </w:pPr>
    </w:p>
    <w:p>
      <w:pPr>
        <w:ind w:left="896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pacing w:after="0" w:line="200" w:lineRule="exact"/>
        <w:rPr>
          <w:sz w:val="24"/>
          <w:szCs w:val="24"/>
          <w:color w:val="auto"/>
        </w:rPr>
      </w:pPr>
    </w:p>
    <w:p>
      <w:pPr>
        <w:spacing w:after="0" w:line="200" w:lineRule="exact"/>
        <w:rPr>
          <w:sz w:val="24"/>
          <w:szCs w:val="24"/>
          <w:color w:val="auto"/>
        </w:rPr>
      </w:pPr>
    </w:p>
    <w:p>
      <w:pPr>
        <w:spacing w:after="0" w:line="277" w:lineRule="exact"/>
        <w:rPr>
          <w:sz w:val="24"/>
          <w:szCs w:val="24"/>
          <w:color w:val="auto"/>
        </w:rPr>
      </w:pPr>
    </w:p>
    <w:p>
      <w:pPr>
        <w:ind w:left="140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192405</wp:posOffset>
            </wp:positionH>
            <wp:positionV relativeFrom="paragraph">
              <wp:posOffset>-374015</wp:posOffset>
            </wp:positionV>
            <wp:extent cx="6577965" cy="3632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10380"/>
          </w:cols>
          <w:pgMar w:left="400" w:top="1230" w:right="1126" w:bottom="0" w:gutter="0" w:footer="0" w:header="0"/>
          <w:type w:val="continuous"/>
        </w:sectPr>
      </w:pPr>
    </w:p>
    <w:bookmarkStart w:id="1" w:name="page2"/>
    <w:bookmarkEnd w:id="1"/>
    <w:p>
      <w:pPr>
        <w:jc w:val="both"/>
        <w:spacing w:after="0" w:line="242" w:lineRule="auto"/>
        <w:rPr>
          <w:sz w:val="20"/>
          <w:szCs w:val="20"/>
          <w:color w:val="auto"/>
        </w:rPr>
      </w:pPr>
      <w:r>
        <w:rPr>
          <w:rFonts w:ascii="Arial" w:cs="Arial" w:eastAsia="Arial" w:hAnsi="Arial"/>
          <w:sz w:val="22"/>
          <w:szCs w:val="22"/>
          <w:color w:val="auto"/>
        </w:rPr>
        <w:t>interesado en el procedimiento y siempre que éste manifieste su conformidad, o cuando el interesado manifieste su conformidad con que no se suspenda el plazo. 4.- Sin perjuicio de lo dispuesto en los apartados anteriores, desde la entrada en vigor del presente Real Decreto, las entidades del sector público podrán acordar motivadamente la continuación de aquellos procedimientos administrativos que vengan referidos a situaciones estrechamente vinculadas a los hechos justificativos del estado de alarma, o que sean indispensables para la protección del interés general o para el funcionamiento básico de los servicios, y visto que en estas circunstancias extraordinarias, las subvenciones resultan ser unas herramientas vitales a emplear por las Administraciones Públicas para mitigar el impacto social y económico de la crisis sanitaria provocada por la pandemia mundial en la que se ha convertido el brote de COVID-19, por parte de AFA LA PALMA se aporta escrito de fecha 08 de abril de 2020, con Registro de Entrada en este Excmo. Cabildo Insular de La Palma número 2020008339 en el que se muestra conformidad con que no se suspenda el plazo y se efectúen medidas de ordenación, instrucción y resolución del procedimiento de concesión de la subvención que nos ocupa, así como el abono anticipado de la misma.</w:t>
      </w:r>
    </w:p>
    <w:p>
      <w:pPr>
        <w:spacing w:after="0" w:line="222" w:lineRule="exact"/>
        <w:rPr>
          <w:sz w:val="20"/>
          <w:szCs w:val="20"/>
          <w:color w:val="auto"/>
        </w:rPr>
      </w:pPr>
    </w:p>
    <w:p>
      <w:pPr>
        <w:jc w:val="both"/>
        <w:ind w:firstLine="709"/>
        <w:spacing w:after="0" w:line="249" w:lineRule="auto"/>
        <w:rPr>
          <w:sz w:val="20"/>
          <w:szCs w:val="20"/>
          <w:color w:val="auto"/>
        </w:rPr>
      </w:pPr>
      <w:r>
        <w:rPr>
          <w:rFonts w:ascii="Arial" w:cs="Arial" w:eastAsia="Arial" w:hAnsi="Arial"/>
          <w:sz w:val="22"/>
          <w:szCs w:val="22"/>
          <w:color w:val="auto"/>
        </w:rPr>
        <w:t>Visto que existe consignación presupuestaria adecuada y suficiente en el Presupuesto del ejercicio 2020 en la aplicación presupuestaria 233.489.10 “SUBVENCIÓN ASOCIACIÓN FAMILIARES DE ENFERMOS DE ALZHEIMER Y OTRAS DEMENCIAS DE LA PALMA. PROMOCIÓN DE LA AUTONOMÍA PERSONAL. GASTOS DE MANTENIMIENTO”, por importe de DOSCIENTOS SESENTA Y UN MIL SEISCIENTOS EUROS (261.600,00 €).</w:t>
      </w:r>
    </w:p>
    <w:p>
      <w:pPr>
        <w:spacing w:after="0" w:line="206" w:lineRule="exact"/>
        <w:rPr>
          <w:sz w:val="20"/>
          <w:szCs w:val="20"/>
          <w:color w:val="auto"/>
        </w:rPr>
      </w:pPr>
    </w:p>
    <w:p>
      <w:pPr>
        <w:jc w:val="both"/>
        <w:ind w:firstLine="709"/>
        <w:spacing w:after="0" w:line="246" w:lineRule="auto"/>
        <w:rPr>
          <w:sz w:val="20"/>
          <w:szCs w:val="20"/>
          <w:color w:val="auto"/>
        </w:rPr>
      </w:pPr>
      <w:r>
        <w:rPr>
          <w:rFonts w:ascii="Arial" w:cs="Arial" w:eastAsia="Arial" w:hAnsi="Arial"/>
          <w:sz w:val="22"/>
          <w:szCs w:val="22"/>
          <w:color w:val="auto"/>
        </w:rPr>
        <w:t>Visto que mediante Acuerdo del Consejo de Gobierno Insular del Excmo. Cabildo Insular de La Palma de fecha 20 de marzo de 2020 se aprueba el Plan Estratégico de Subvenciones para el año 2020, incluyendo la línea de actuación número 1 denominada “ Fomento para los centros de mayores y discapacidad integrantes del sistema canario de atención a la dependencia”, tratándose la subvención objeto de esta Subvención de una de las comprendidas dentro de la referida línea, dando, por tanto, cumplimiento a lo establecido en el artículo 8.1 de la Ley 38/2003, de 17 de noviembre, General de Subvenciones.</w:t>
      </w:r>
    </w:p>
    <w:p>
      <w:pPr>
        <w:spacing w:after="0" w:line="209" w:lineRule="exact"/>
        <w:rPr>
          <w:sz w:val="20"/>
          <w:szCs w:val="20"/>
          <w:color w:val="auto"/>
        </w:rPr>
      </w:pPr>
    </w:p>
    <w:p>
      <w:pPr>
        <w:jc w:val="both"/>
        <w:ind w:firstLine="709"/>
        <w:spacing w:after="0" w:line="244" w:lineRule="auto"/>
        <w:rPr>
          <w:sz w:val="20"/>
          <w:szCs w:val="20"/>
          <w:color w:val="auto"/>
        </w:rPr>
      </w:pPr>
      <w:r>
        <w:rPr>
          <w:rFonts w:ascii="Arial" w:cs="Arial" w:eastAsia="Arial" w:hAnsi="Arial"/>
          <w:sz w:val="22"/>
          <w:szCs w:val="22"/>
          <w:color w:val="auto"/>
        </w:rPr>
        <w:t>La Asociación de Familiares de Enfermos de Alzheimer y otras demencias de La Palma (AFA La Palma), como queda acreditado en el expediente en calidad de beneficiaria de la subvención, cumple en el día de la fecha con los contenidos en el artículo 13 de la Ley General de Subvenciones, no estando incursa en ninguna de las circunstancias que le imposibilitarían ser beneficiaria de la misma, habiendo presentado la justificación de las subvenciones concedidas en ejercicios anteriores para la misma finalidad por parte de este Servicio de Acción Social. La entrega anticipada de parte de la subvención se justifica por tanto en la financiación necesaria de las actuaciones que son inherentes al objeto de la Subvención, sin la cual, estas no podrían desarrollarse ni culminarse.</w:t>
      </w:r>
    </w:p>
    <w:p>
      <w:pPr>
        <w:spacing w:after="0" w:line="215" w:lineRule="exact"/>
        <w:rPr>
          <w:sz w:val="20"/>
          <w:szCs w:val="20"/>
          <w:color w:val="auto"/>
        </w:rPr>
      </w:pPr>
    </w:p>
    <w:p>
      <w:pPr>
        <w:jc w:val="center"/>
        <w:spacing w:after="0"/>
        <w:rPr>
          <w:sz w:val="20"/>
          <w:szCs w:val="20"/>
          <w:color w:val="auto"/>
        </w:rPr>
      </w:pPr>
      <w:r>
        <w:rPr>
          <w:rFonts w:ascii="Arial" w:cs="Arial" w:eastAsia="Arial" w:hAnsi="Arial"/>
          <w:sz w:val="22"/>
          <w:szCs w:val="22"/>
          <w:b w:val="1"/>
          <w:bCs w:val="1"/>
          <w:color w:val="auto"/>
        </w:rPr>
        <w:t>FUNDAMENTOS</w:t>
      </w:r>
    </w:p>
    <w:p>
      <w:pPr>
        <w:spacing w:after="0" w:line="238" w:lineRule="exact"/>
        <w:rPr>
          <w:sz w:val="20"/>
          <w:szCs w:val="20"/>
          <w:color w:val="auto"/>
        </w:rPr>
      </w:pPr>
    </w:p>
    <w:p>
      <w:pPr>
        <w:jc w:val="both"/>
        <w:spacing w:after="0" w:line="252" w:lineRule="auto"/>
        <w:rPr>
          <w:sz w:val="20"/>
          <w:szCs w:val="20"/>
          <w:color w:val="auto"/>
        </w:rPr>
      </w:pPr>
      <w:r>
        <w:rPr>
          <w:rFonts w:ascii="Arial" w:cs="Arial" w:eastAsia="Arial" w:hAnsi="Arial"/>
          <w:sz w:val="22"/>
          <w:szCs w:val="22"/>
          <w:color w:val="auto"/>
        </w:rPr>
        <w:t>La Ley 16/2019, de 2 de mayo, de Servicios Sociales de Canarias, establece en su artículo 4, que el sistema público de servicios sociales de Canarias está integrado por el conjunto de recursos, equipamientos, proyectos, programas y prestaciones de titularidad pública y privada destinada al cumplimiento de los objetivos establecidos en esta ley.</w:t>
      </w:r>
    </w:p>
    <w:p>
      <w:pPr>
        <w:spacing w:after="0" w:line="202" w:lineRule="exact"/>
        <w:rPr>
          <w:sz w:val="20"/>
          <w:szCs w:val="20"/>
          <w:color w:val="auto"/>
        </w:rPr>
      </w:pPr>
    </w:p>
    <w:p>
      <w:pPr>
        <w:jc w:val="both"/>
        <w:ind w:firstLine="709"/>
        <w:spacing w:after="0" w:line="247" w:lineRule="auto"/>
        <w:rPr>
          <w:sz w:val="20"/>
          <w:szCs w:val="20"/>
          <w:color w:val="auto"/>
        </w:rPr>
      </w:pPr>
      <w:r>
        <w:rPr>
          <w:rFonts w:ascii="Arial" w:cs="Arial" w:eastAsia="Arial" w:hAnsi="Arial"/>
          <w:sz w:val="22"/>
          <w:szCs w:val="22"/>
          <w:color w:val="auto"/>
        </w:rPr>
        <w:t>El sistema público de servicios sociales está integrado por los servicios sociales de titularidad pública y los de titularidad privada acreditados de acuerdo con lo que establece la presente ley. Todos estos servicios configuran conjuntamente la red de servicios sociales de atención pública de la Comunidad Autónoma de Canarias, destinados a la ciudadanía, en general, y, en particular, a las personas y colectivos más desfavorecidos, o que se hallaren en situación de exclusión social o en riesgo de estarlo.</w:t>
      </w:r>
    </w:p>
    <w:p>
      <w:pPr>
        <w:spacing w:after="0" w:line="209" w:lineRule="exact"/>
        <w:rPr>
          <w:sz w:val="20"/>
          <w:szCs w:val="20"/>
          <w:color w:val="auto"/>
        </w:rPr>
      </w:pPr>
    </w:p>
    <w:p>
      <w:pPr>
        <w:jc w:val="both"/>
        <w:ind w:firstLine="709"/>
        <w:spacing w:after="0" w:line="276" w:lineRule="auto"/>
        <w:rPr>
          <w:sz w:val="20"/>
          <w:szCs w:val="20"/>
          <w:color w:val="auto"/>
        </w:rPr>
      </w:pPr>
      <w:r>
        <w:rPr>
          <w:rFonts w:ascii="Arial" w:cs="Arial" w:eastAsia="Arial" w:hAnsi="Arial"/>
          <w:sz w:val="22"/>
          <w:szCs w:val="22"/>
          <w:color w:val="auto"/>
        </w:rPr>
        <w:t>La Ley 39/2006, de 14 de diciembre, de promoción de la autonomía personal y atención a las personas en situación de dependencia, prevé la creación de un Sistema para la Autonomía y</w:t>
      </w:r>
    </w:p>
    <w:p>
      <w:pPr>
        <w:spacing w:after="0" w:line="30"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 w:name="page3"/>
    <w:bookmarkEnd w:id="2"/>
    <w:p>
      <w:pPr>
        <w:jc w:val="both"/>
        <w:spacing w:after="0" w:line="252" w:lineRule="auto"/>
        <w:rPr>
          <w:sz w:val="20"/>
          <w:szCs w:val="20"/>
          <w:color w:val="auto"/>
        </w:rPr>
      </w:pPr>
      <w:r>
        <w:rPr>
          <w:rFonts w:ascii="Arial" w:cs="Arial" w:eastAsia="Arial" w:hAnsi="Arial"/>
          <w:sz w:val="22"/>
          <w:szCs w:val="22"/>
          <w:color w:val="auto"/>
        </w:rPr>
        <w:t>Atención a la Dependencia con la participación y la colaboración de todas las Administraciones Públicas. Este Sistema garantiza el derecho subjetivo de la ciudadanía, consistente en asegurar el acceso de cualquier persona a las prestaciones y servicios que requiera en función de la situación de la dependencia en que se encuentre.</w:t>
      </w:r>
    </w:p>
    <w:p>
      <w:pPr>
        <w:spacing w:after="0" w:line="202" w:lineRule="exact"/>
        <w:rPr>
          <w:sz w:val="20"/>
          <w:szCs w:val="20"/>
          <w:color w:val="auto"/>
        </w:rPr>
      </w:pPr>
    </w:p>
    <w:p>
      <w:pPr>
        <w:jc w:val="both"/>
        <w:ind w:firstLine="709"/>
        <w:spacing w:after="0" w:line="246" w:lineRule="auto"/>
        <w:rPr>
          <w:sz w:val="20"/>
          <w:szCs w:val="20"/>
          <w:color w:val="auto"/>
        </w:rPr>
      </w:pPr>
      <w:r>
        <w:rPr>
          <w:rFonts w:ascii="Arial" w:cs="Arial" w:eastAsia="Arial" w:hAnsi="Arial"/>
          <w:sz w:val="22"/>
          <w:szCs w:val="22"/>
          <w:color w:val="auto"/>
        </w:rPr>
        <w:t>El artículo 12 de la referida Ley 39/2006 prevé la participación de la Entidades Locales en la gestión de los servicios de atención a las personas en situación de dependencia, de acuerdo con la normativa de sus respectivas Comunidades Autónomas y dentro de las competencias que la legislación vigente les atribuye, y en la disposición adicional duodécima de la citada Ley establece que, en la participación de las entidades territoriales en el Sistema para la Autonomía y Atención a la Dependencia, se tendrán en cuenta las especificidades reconocidas a los Cabildos Insulares en el caso de la Comunidad Autónoma de Canarias.</w:t>
      </w:r>
    </w:p>
    <w:p>
      <w:pPr>
        <w:spacing w:after="0" w:line="209" w:lineRule="exact"/>
        <w:rPr>
          <w:sz w:val="20"/>
          <w:szCs w:val="20"/>
          <w:color w:val="auto"/>
        </w:rPr>
      </w:pPr>
    </w:p>
    <w:p>
      <w:pPr>
        <w:jc w:val="both"/>
        <w:ind w:firstLine="709"/>
        <w:spacing w:after="0" w:line="246" w:lineRule="auto"/>
        <w:rPr>
          <w:sz w:val="20"/>
          <w:szCs w:val="20"/>
          <w:color w:val="auto"/>
        </w:rPr>
      </w:pPr>
      <w:r>
        <w:rPr>
          <w:rFonts w:ascii="Arial" w:cs="Arial" w:eastAsia="Arial" w:hAnsi="Arial"/>
          <w:sz w:val="22"/>
          <w:szCs w:val="22"/>
          <w:color w:val="auto"/>
        </w:rPr>
        <w:t>El desarrollo y consolidación de la red de atención a la dependencia se ejecuta en cumplimiento de lo dispuesto en el artículo 49 la Ley, 16/2019, de Servicios Sociales de Canarias, que establece que a los Cabildos, les corresponde:</w:t>
      </w:r>
    </w:p>
    <w:p>
      <w:pPr>
        <w:spacing w:after="0" w:line="3" w:lineRule="exact"/>
        <w:rPr>
          <w:sz w:val="20"/>
          <w:szCs w:val="20"/>
          <w:color w:val="auto"/>
        </w:rPr>
      </w:pPr>
    </w:p>
    <w:p>
      <w:pPr>
        <w:jc w:val="both"/>
        <w:spacing w:after="0"/>
        <w:rPr>
          <w:sz w:val="20"/>
          <w:szCs w:val="20"/>
          <w:color w:val="auto"/>
        </w:rPr>
      </w:pPr>
      <w:r>
        <w:rPr>
          <w:rFonts w:ascii="Arial" w:cs="Arial" w:eastAsia="Arial" w:hAnsi="Arial"/>
          <w:sz w:val="22"/>
          <w:szCs w:val="22"/>
          <w:color w:val="auto"/>
        </w:rPr>
        <w:t>“Proveer, organizar y gestionar los servicios especializados que por su naturaleza y características tengan carácter insular o supramunicipal, de acuerdo con los criterios de su programación y los establecidos en la planificación general de la Comunidad Autónoma de Canarias”</w:t>
      </w:r>
    </w:p>
    <w:p>
      <w:pPr>
        <w:jc w:val="both"/>
        <w:ind w:firstLine="61"/>
        <w:spacing w:after="0" w:line="247" w:lineRule="auto"/>
        <w:rPr>
          <w:sz w:val="20"/>
          <w:szCs w:val="20"/>
          <w:color w:val="auto"/>
        </w:rPr>
      </w:pPr>
      <w:r>
        <w:rPr>
          <w:rFonts w:ascii="Arial" w:cs="Arial" w:eastAsia="Arial" w:hAnsi="Arial"/>
          <w:sz w:val="22"/>
          <w:szCs w:val="22"/>
          <w:color w:val="auto"/>
        </w:rPr>
        <w:t>“Concertar o conveniar, según corresponda, la gestión de servicios sociales, en su ámbito territorial, con entidades públicas o de iniciativa privada, de conformidad con lo establecido en esta ley y el resto de la normativa vigente aplicable”</w:t>
      </w:r>
    </w:p>
    <w:p>
      <w:pPr>
        <w:spacing w:after="0" w:line="209" w:lineRule="exact"/>
        <w:rPr>
          <w:sz w:val="20"/>
          <w:szCs w:val="20"/>
          <w:color w:val="auto"/>
        </w:rPr>
      </w:pPr>
    </w:p>
    <w:p>
      <w:pPr>
        <w:jc w:val="both"/>
        <w:ind w:firstLine="709"/>
        <w:spacing w:after="0" w:line="247" w:lineRule="auto"/>
        <w:rPr>
          <w:sz w:val="20"/>
          <w:szCs w:val="20"/>
          <w:color w:val="auto"/>
        </w:rPr>
      </w:pPr>
      <w:r>
        <w:rPr>
          <w:rFonts w:ascii="Arial" w:cs="Arial" w:eastAsia="Arial" w:hAnsi="Arial"/>
          <w:sz w:val="22"/>
          <w:szCs w:val="22"/>
          <w:color w:val="auto"/>
        </w:rPr>
        <w:t>Asimismo, la materia objeto de la presente Subvención es competencia transferida al Excmo. Cabildo Insular de La Palma, desde la recepción por este, de las competencias transferidas en virtud del Decreto 113/2002 de 9 de agosto de traspaso de competencias de la Administración Pública de la Comunidad Autónoma de Canarias a los Cabildos Insulares en materia de servicios sociales especializados a personas mayores, personas con discapacidad y mujeres.</w:t>
      </w:r>
    </w:p>
    <w:p>
      <w:pPr>
        <w:spacing w:after="0" w:line="209" w:lineRule="exact"/>
        <w:rPr>
          <w:sz w:val="20"/>
          <w:szCs w:val="20"/>
          <w:color w:val="auto"/>
        </w:rPr>
      </w:pPr>
    </w:p>
    <w:p>
      <w:pPr>
        <w:jc w:val="both"/>
        <w:ind w:firstLine="709"/>
        <w:spacing w:after="0" w:line="245" w:lineRule="auto"/>
        <w:rPr>
          <w:sz w:val="20"/>
          <w:szCs w:val="20"/>
          <w:color w:val="auto"/>
        </w:rPr>
      </w:pPr>
      <w:r>
        <w:rPr>
          <w:rFonts w:ascii="Arial" w:cs="Arial" w:eastAsia="Arial" w:hAnsi="Arial"/>
          <w:sz w:val="22"/>
          <w:szCs w:val="22"/>
          <w:color w:val="auto"/>
        </w:rPr>
        <w:t>La Ley de Servicios Sociales establece que podrán ser titulares de servicios, recursos y centros de servicios sociales tanto las personas físicas como las personas jurídicas legalmente constituidas, de carácter público o privado, que contemplen entre sus fines la prestación de servicios sociales. Los servicios, recursos y centros de servicios sociales serán de titularidad pública y de titularidad privada, gestionados por personas físicas o entidades, que funcionen preferentemente sin ánimo de lucro, garantizándose la supervisión e inspección de todos ellos por la Administración pública competente en los términos previstos en esta ley y sus disposiciones reglamentarias.</w:t>
      </w:r>
    </w:p>
    <w:p>
      <w:pPr>
        <w:spacing w:after="0" w:line="211" w:lineRule="exact"/>
        <w:rPr>
          <w:sz w:val="20"/>
          <w:szCs w:val="20"/>
          <w:color w:val="auto"/>
        </w:rPr>
      </w:pPr>
    </w:p>
    <w:p>
      <w:pPr>
        <w:jc w:val="both"/>
        <w:ind w:firstLine="770"/>
        <w:spacing w:after="0" w:line="258" w:lineRule="auto"/>
        <w:rPr>
          <w:sz w:val="20"/>
          <w:szCs w:val="20"/>
          <w:color w:val="auto"/>
        </w:rPr>
      </w:pPr>
      <w:r>
        <w:rPr>
          <w:rFonts w:ascii="Arial" w:cs="Arial" w:eastAsia="Arial" w:hAnsi="Arial"/>
          <w:sz w:val="22"/>
          <w:szCs w:val="22"/>
          <w:color w:val="auto"/>
        </w:rPr>
        <w:t>Por su parte, el art. 50 de la citada Ley 16/2019, de 2 de mayo de Servicios Sociales de Canarias, establece que es competencia de los municipios colaboran con otras administraciones en la promoción y creación de los servicios sociales de atención especializada</w:t>
      </w:r>
    </w:p>
    <w:p>
      <w:pPr>
        <w:spacing w:after="0" w:line="196" w:lineRule="exact"/>
        <w:rPr>
          <w:sz w:val="20"/>
          <w:szCs w:val="20"/>
          <w:color w:val="auto"/>
        </w:rPr>
      </w:pPr>
    </w:p>
    <w:p>
      <w:pPr>
        <w:jc w:val="both"/>
        <w:ind w:firstLine="709"/>
        <w:spacing w:after="0" w:line="243" w:lineRule="auto"/>
        <w:rPr>
          <w:sz w:val="20"/>
          <w:szCs w:val="20"/>
          <w:color w:val="auto"/>
        </w:rPr>
      </w:pPr>
      <w:r>
        <w:rPr>
          <w:rFonts w:ascii="Arial" w:cs="Arial" w:eastAsia="Arial" w:hAnsi="Arial"/>
          <w:sz w:val="22"/>
          <w:szCs w:val="22"/>
          <w:color w:val="auto"/>
        </w:rPr>
        <w:t>En la actualidad, el Excmo. Cabildo Insular de La Palma y la Administración Pública de la Comunidad Autónoma han ratificado, el 6 de agosto de 2018, con carácter plurianual 2018-2021, la Subvención que tiene por objeto articular la colaboración entre ambas administraciones para la prestación de los servicios de prevención de las situaciones de dependencia y los de promoción de la autonomía personal, servicio de teleasistencia, de ayuda a domicilio, centro de día y de noche, así como de atención residencial (residencias, viviendas tuteladas y hogares funcionales), así como incluidos en la Red de Centros Sociosanitarios, propios, concertados o convenidos por este Cabildo Insular, a las personas mayores o con discapacidad que tengan reconocida la situación de dependencia, determinado los cuidados sanitarios, en su caso, y se les hayan asignado dichos servicios en el Programa Individual de Atención donde se determina el coste plaza/día, modificado dicho Convenio mediante acuerdo de Consejo de Gobierno de Canarias de 24 de junio de 2019 y acuerdo de Consejo de Gobierno Insular del Cabildo de La Palma.</w:t>
      </w:r>
    </w:p>
    <w:p>
      <w:pPr>
        <w:spacing w:after="0" w:line="306"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3" w:name="page4"/>
    <w:bookmarkEnd w:id="3"/>
    <w:p>
      <w:pPr>
        <w:jc w:val="both"/>
        <w:ind w:left="6" w:firstLine="709"/>
        <w:spacing w:after="0" w:line="246" w:lineRule="auto"/>
        <w:rPr>
          <w:sz w:val="20"/>
          <w:szCs w:val="20"/>
          <w:color w:val="auto"/>
        </w:rPr>
      </w:pPr>
      <w:r>
        <w:rPr>
          <w:rFonts w:ascii="Arial" w:cs="Arial" w:eastAsia="Arial" w:hAnsi="Arial"/>
          <w:sz w:val="22"/>
          <w:szCs w:val="22"/>
          <w:color w:val="auto"/>
        </w:rPr>
        <w:t>La financiación que sustenta dicho Convenio y su correspondiente Adenda, para el ejercicio 2020 asciende a 15.959.182,61, de los cuales 223.316,35 euros se financian a través del Decreto 113/2002, de 9 de agosto, que son créditos del gobierno de Canarias destinados a financiar las competencias transferidas a los Cabildos en la materia, 10.525.405,97 € euros a través del presente convenio con cargo a las partidas de la sección 23 del Presupuesto General de la Comunidad Autónoma de Canarias y 5.210.460,30 € euros a través del presente convenio y con cargo a las partidas presupuestarias propias del Cabildo Insular de La Palma.</w:t>
      </w:r>
    </w:p>
    <w:p>
      <w:pPr>
        <w:spacing w:after="0" w:line="209" w:lineRule="exact"/>
        <w:rPr>
          <w:sz w:val="20"/>
          <w:szCs w:val="20"/>
          <w:color w:val="auto"/>
        </w:rPr>
      </w:pPr>
    </w:p>
    <w:p>
      <w:pPr>
        <w:jc w:val="both"/>
        <w:ind w:left="6" w:firstLine="709"/>
        <w:spacing w:after="0" w:line="246" w:lineRule="auto"/>
        <w:rPr>
          <w:sz w:val="20"/>
          <w:szCs w:val="20"/>
          <w:color w:val="auto"/>
        </w:rPr>
      </w:pPr>
      <w:r>
        <w:rPr>
          <w:rFonts w:ascii="Arial" w:cs="Arial" w:eastAsia="Arial" w:hAnsi="Arial"/>
          <w:sz w:val="22"/>
          <w:szCs w:val="22"/>
          <w:color w:val="auto"/>
        </w:rPr>
        <w:t>Visto que en los Presupuestos Generales de la Comunidad Autónoma de Canarias para el ejercicio 2020, dentro del anexo relativo a “transferencias corrientes comunidad autónoma”, existen las siguientes aplicaciones presupuestarias:</w:t>
      </w:r>
    </w:p>
    <w:p>
      <w:pPr>
        <w:spacing w:after="0" w:line="3" w:lineRule="exact"/>
        <w:rPr>
          <w:sz w:val="20"/>
          <w:szCs w:val="20"/>
          <w:color w:val="auto"/>
        </w:rPr>
      </w:pPr>
    </w:p>
    <w:p>
      <w:pPr>
        <w:jc w:val="both"/>
        <w:ind w:left="6" w:hanging="6"/>
        <w:spacing w:after="0"/>
        <w:tabs>
          <w:tab w:leader="none" w:pos="715" w:val="left"/>
        </w:tabs>
        <w:numPr>
          <w:ilvl w:val="0"/>
          <w:numId w:val="1"/>
        </w:numPr>
        <w:rPr>
          <w:rFonts w:ascii="Arial" w:cs="Arial" w:eastAsia="Arial" w:hAnsi="Arial"/>
          <w:sz w:val="22"/>
          <w:szCs w:val="22"/>
          <w:color w:val="auto"/>
        </w:rPr>
      </w:pPr>
      <w:r>
        <w:rPr>
          <w:rFonts w:ascii="Arial" w:cs="Arial" w:eastAsia="Arial" w:hAnsi="Arial"/>
          <w:sz w:val="22"/>
          <w:szCs w:val="22"/>
          <w:color w:val="auto"/>
        </w:rPr>
        <w:t>234.999.59 “SERVICIO DE ATENCION A LA DISCAPACIDAD.LA PALMA”, por un importe de UN MILLÓN SETECIENTOS SESENTA Y UN MIL OCHOCIENTOS NOVENTA Y NUEVE EUROS (1.761.899 €).</w:t>
      </w:r>
    </w:p>
    <w:p>
      <w:pPr>
        <w:jc w:val="both"/>
        <w:ind w:left="6" w:hanging="6"/>
        <w:spacing w:after="0"/>
        <w:tabs>
          <w:tab w:leader="none" w:pos="715" w:val="left"/>
        </w:tabs>
        <w:numPr>
          <w:ilvl w:val="0"/>
          <w:numId w:val="1"/>
        </w:numPr>
        <w:rPr>
          <w:rFonts w:ascii="Arial" w:cs="Arial" w:eastAsia="Arial" w:hAnsi="Arial"/>
          <w:sz w:val="22"/>
          <w:szCs w:val="22"/>
          <w:color w:val="auto"/>
        </w:rPr>
      </w:pPr>
      <w:r>
        <w:rPr>
          <w:rFonts w:ascii="Arial" w:cs="Arial" w:eastAsia="Arial" w:hAnsi="Arial"/>
          <w:sz w:val="22"/>
          <w:szCs w:val="22"/>
          <w:color w:val="auto"/>
        </w:rPr>
        <w:t>234.999.22 “SOSTENIMIENTO PLAZAS MAYORES SISTEMA CANARIO DEPENDENCIA, a favor de los Cabildos Insulares y sus Organismos Autónomos, por un importe de TRECE MILLONES NOVECIENTOS NOVENTA MIL DOSCIENTOS VEINTICINCO EUROS (13.990.225 €)</w:t>
      </w:r>
    </w:p>
    <w:p>
      <w:pPr>
        <w:jc w:val="both"/>
        <w:ind w:left="6" w:hanging="6"/>
        <w:spacing w:after="0"/>
        <w:tabs>
          <w:tab w:leader="none" w:pos="715" w:val="left"/>
        </w:tabs>
        <w:numPr>
          <w:ilvl w:val="0"/>
          <w:numId w:val="1"/>
        </w:numPr>
        <w:rPr>
          <w:rFonts w:ascii="Arial" w:cs="Arial" w:eastAsia="Arial" w:hAnsi="Arial"/>
          <w:sz w:val="22"/>
          <w:szCs w:val="22"/>
          <w:color w:val="auto"/>
        </w:rPr>
      </w:pPr>
      <w:r>
        <w:rPr>
          <w:rFonts w:ascii="Arial" w:cs="Arial" w:eastAsia="Arial" w:hAnsi="Arial"/>
          <w:sz w:val="22"/>
          <w:szCs w:val="22"/>
          <w:color w:val="auto"/>
        </w:rPr>
        <w:t>234.999.24 “SOSTENIMIENTO PLAZAS MAYORES SISTEMA DEPENDENCIA ADMINISTRACION GENERAL DEL ESTADO”, a favor de los Cabildos Insulares y sus organismos autónomos, por importe de NUEVE MILLONES NOVECIENTOS MIL EUROS (11.900.000 €).</w:t>
      </w:r>
    </w:p>
    <w:p>
      <w:pPr>
        <w:ind w:left="6" w:hanging="6"/>
        <w:spacing w:after="0"/>
        <w:tabs>
          <w:tab w:leader="none" w:pos="715" w:val="left"/>
        </w:tabs>
        <w:numPr>
          <w:ilvl w:val="0"/>
          <w:numId w:val="1"/>
        </w:numPr>
        <w:rPr>
          <w:rFonts w:ascii="Arial" w:cs="Arial" w:eastAsia="Arial" w:hAnsi="Arial"/>
          <w:sz w:val="22"/>
          <w:szCs w:val="22"/>
          <w:color w:val="auto"/>
        </w:rPr>
      </w:pPr>
      <w:r>
        <w:rPr>
          <w:rFonts w:ascii="Arial" w:cs="Arial" w:eastAsia="Arial" w:hAnsi="Arial"/>
          <w:sz w:val="22"/>
          <w:szCs w:val="22"/>
          <w:color w:val="auto"/>
        </w:rPr>
        <w:t>234G0310 “PROMOCION DE LA AUTONOMIA PERSONAL” a favor de los Cabildos Insulares y sus organismos autónomos, por importe de UN MILLÓN DE EUROS (1.000.000 €).</w:t>
      </w:r>
    </w:p>
    <w:p>
      <w:pPr>
        <w:jc w:val="both"/>
        <w:ind w:left="6" w:hanging="6"/>
        <w:spacing w:after="0" w:line="245" w:lineRule="auto"/>
        <w:tabs>
          <w:tab w:leader="none" w:pos="715" w:val="left"/>
        </w:tabs>
        <w:numPr>
          <w:ilvl w:val="0"/>
          <w:numId w:val="1"/>
        </w:numPr>
        <w:rPr>
          <w:rFonts w:ascii="Arial" w:cs="Arial" w:eastAsia="Arial" w:hAnsi="Arial"/>
          <w:sz w:val="22"/>
          <w:szCs w:val="22"/>
          <w:color w:val="auto"/>
        </w:rPr>
      </w:pPr>
      <w:r>
        <w:rPr>
          <w:rFonts w:ascii="Arial" w:cs="Arial" w:eastAsia="Arial" w:hAnsi="Arial"/>
          <w:sz w:val="22"/>
          <w:szCs w:val="22"/>
          <w:color w:val="auto"/>
        </w:rPr>
        <w:t>234.999.86 “SERVICIO DE ATENCION S.SANIT. PERS. DEPENDIENTES, a favor de los Cabildos Insulares y sus Organismos Autónomos, por un importe de VEINTINUEVE MILLONES DOSCIENTOS CUARENTA Y TRES MIL TRESCIENTOS CUARENTA Y OCHO EUROS (29.243.348 €).</w:t>
      </w:r>
    </w:p>
    <w:p>
      <w:pPr>
        <w:spacing w:after="0" w:line="210" w:lineRule="exact"/>
        <w:rPr>
          <w:sz w:val="20"/>
          <w:szCs w:val="20"/>
          <w:color w:val="auto"/>
        </w:rPr>
      </w:pPr>
    </w:p>
    <w:p>
      <w:pPr>
        <w:jc w:val="both"/>
        <w:ind w:left="6" w:firstLine="709"/>
        <w:spacing w:after="0" w:line="245" w:lineRule="auto"/>
        <w:rPr>
          <w:sz w:val="20"/>
          <w:szCs w:val="20"/>
          <w:color w:val="auto"/>
        </w:rPr>
      </w:pPr>
      <w:r>
        <w:rPr>
          <w:rFonts w:ascii="Arial" w:cs="Arial" w:eastAsia="Arial" w:hAnsi="Arial"/>
          <w:sz w:val="22"/>
          <w:szCs w:val="22"/>
          <w:color w:val="auto"/>
        </w:rPr>
        <w:t>Asimismo, dentro del Presupuesto de Ingresos para el ejercicio 2020 del Excmo. Cabildo Insular de La Palma, existe el Capítulo IV relativo a transferencias corrientes, con concepto nº 45007 y descripción: “PROGRAMA SOCIOSANITARIO ATENCION A LA DISCAPACIDAD DE CANARIAS. LA PALMA”, y a la que le corresponde un importe de UN MILLÓN SETECIENTOS SESENTA Y UN MIL OCHOCIENTOS NOVENTA Y NUEVE EUROS (1.761.899,00 €), incluyendo además con concepto nº 45011 y descripción: “FINANCIACION DEPENDENCIA MAYORES Y DISCAPACIDAD”, a la que le correspondió un importe inicial de OCHO MILLONES SETECIENTOS SESENTA Y TRES MIL QUINIENTOS SEIS EUROS (8.763.506,97€).</w:t>
      </w:r>
    </w:p>
    <w:p>
      <w:pPr>
        <w:spacing w:after="0" w:line="200" w:lineRule="exact"/>
        <w:rPr>
          <w:sz w:val="20"/>
          <w:szCs w:val="20"/>
          <w:color w:val="auto"/>
        </w:rPr>
      </w:pPr>
    </w:p>
    <w:p>
      <w:pPr>
        <w:spacing w:after="0" w:line="264" w:lineRule="exact"/>
        <w:rPr>
          <w:sz w:val="20"/>
          <w:szCs w:val="20"/>
          <w:color w:val="auto"/>
        </w:rPr>
      </w:pPr>
    </w:p>
    <w:p>
      <w:pPr>
        <w:ind w:left="6" w:firstLine="709"/>
        <w:spacing w:after="0" w:line="244" w:lineRule="auto"/>
        <w:rPr>
          <w:sz w:val="20"/>
          <w:szCs w:val="20"/>
          <w:color w:val="auto"/>
        </w:rPr>
      </w:pPr>
      <w:r>
        <w:rPr>
          <w:rFonts w:ascii="Arial" w:cs="Arial" w:eastAsia="Arial" w:hAnsi="Arial"/>
          <w:sz w:val="22"/>
          <w:szCs w:val="22"/>
          <w:color w:val="auto"/>
        </w:rPr>
        <w:t>El artículo 3.1 de la Ley 40/2015, de 1 de octubre, de Régimen Jurídico del Sector Público, establece que las Administraciones Públicas sirven con objetividad los intereses generales y actúan de acuerdo con los principios de eficacia, jerarquía, descentralización, desconcentración y coordinación, con sometimiento pleno a la Constitución, a la Ley y al Derecho. Regula asimismo que deberán respetar, en su actuación y relaciones, entre otros, los siguientes principios: …</w:t>
      </w:r>
    </w:p>
    <w:p>
      <w:pPr>
        <w:spacing w:after="0" w:line="254" w:lineRule="exact"/>
        <w:rPr>
          <w:sz w:val="20"/>
          <w:szCs w:val="20"/>
          <w:color w:val="auto"/>
        </w:rPr>
      </w:pPr>
    </w:p>
    <w:p>
      <w:pPr>
        <w:ind w:left="6"/>
        <w:spacing w:after="0"/>
        <w:rPr>
          <w:sz w:val="20"/>
          <w:szCs w:val="20"/>
          <w:color w:val="auto"/>
        </w:rPr>
      </w:pPr>
      <w:r>
        <w:rPr>
          <w:rFonts w:ascii="Arial" w:cs="Arial" w:eastAsia="Arial" w:hAnsi="Arial"/>
          <w:sz w:val="22"/>
          <w:szCs w:val="22"/>
          <w:color w:val="auto"/>
        </w:rPr>
        <w:t>d.- Racionalización y agilidad de los procedimientos administrativos y de las actividades materiales</w:t>
      </w:r>
    </w:p>
    <w:p>
      <w:pPr>
        <w:ind w:left="6"/>
        <w:spacing w:after="0"/>
        <w:rPr>
          <w:sz w:val="20"/>
          <w:szCs w:val="20"/>
          <w:color w:val="auto"/>
        </w:rPr>
      </w:pPr>
      <w:r>
        <w:rPr>
          <w:rFonts w:ascii="Arial" w:cs="Arial" w:eastAsia="Arial" w:hAnsi="Arial"/>
          <w:sz w:val="22"/>
          <w:szCs w:val="22"/>
          <w:color w:val="auto"/>
        </w:rPr>
        <w:t>de gestión.</w:t>
      </w:r>
    </w:p>
    <w:p>
      <w:pPr>
        <w:ind w:left="6"/>
        <w:spacing w:after="0"/>
        <w:rPr>
          <w:sz w:val="20"/>
          <w:szCs w:val="20"/>
          <w:color w:val="auto"/>
        </w:rPr>
      </w:pPr>
      <w:r>
        <w:rPr>
          <w:rFonts w:ascii="Arial" w:cs="Arial" w:eastAsia="Arial" w:hAnsi="Arial"/>
          <w:sz w:val="22"/>
          <w:szCs w:val="22"/>
          <w:color w:val="auto"/>
        </w:rPr>
        <w:t>…</w:t>
      </w:r>
    </w:p>
    <w:p>
      <w:pPr>
        <w:ind w:left="6"/>
        <w:spacing w:after="0"/>
        <w:rPr>
          <w:sz w:val="20"/>
          <w:szCs w:val="20"/>
          <w:color w:val="auto"/>
        </w:rPr>
      </w:pPr>
      <w:r>
        <w:rPr>
          <w:rFonts w:ascii="Arial" w:cs="Arial" w:eastAsia="Arial" w:hAnsi="Arial"/>
          <w:sz w:val="22"/>
          <w:szCs w:val="22"/>
          <w:color w:val="auto"/>
        </w:rPr>
        <w:t>f.- Responsabilidad por la gestión pública.</w:t>
      </w:r>
    </w:p>
    <w:p>
      <w:pPr>
        <w:ind w:left="6"/>
        <w:spacing w:after="0"/>
        <w:rPr>
          <w:sz w:val="20"/>
          <w:szCs w:val="20"/>
          <w:color w:val="auto"/>
        </w:rPr>
      </w:pPr>
      <w:r>
        <w:rPr>
          <w:rFonts w:ascii="Arial" w:cs="Arial" w:eastAsia="Arial" w:hAnsi="Arial"/>
          <w:sz w:val="22"/>
          <w:szCs w:val="22"/>
          <w:color w:val="auto"/>
        </w:rPr>
        <w:t>…</w:t>
      </w:r>
    </w:p>
    <w:p>
      <w:pPr>
        <w:ind w:left="6"/>
        <w:spacing w:after="0"/>
        <w:rPr>
          <w:sz w:val="20"/>
          <w:szCs w:val="20"/>
          <w:color w:val="auto"/>
        </w:rPr>
      </w:pPr>
      <w:r>
        <w:rPr>
          <w:rFonts w:ascii="Arial" w:cs="Arial" w:eastAsia="Arial" w:hAnsi="Arial"/>
          <w:sz w:val="22"/>
          <w:szCs w:val="22"/>
          <w:color w:val="auto"/>
        </w:rPr>
        <w:t>h.- Eficacia en los objetivos fijados.</w:t>
      </w:r>
    </w:p>
    <w:p>
      <w:pPr>
        <w:ind w:left="6"/>
        <w:spacing w:after="0"/>
        <w:rPr>
          <w:sz w:val="20"/>
          <w:szCs w:val="20"/>
          <w:color w:val="auto"/>
        </w:rPr>
      </w:pPr>
      <w:r>
        <w:rPr>
          <w:rFonts w:ascii="Arial" w:cs="Arial" w:eastAsia="Arial" w:hAnsi="Arial"/>
          <w:sz w:val="22"/>
          <w:szCs w:val="22"/>
          <w:color w:val="auto"/>
        </w:rPr>
        <w:t>i.- Economía, suficiencia y adecuación estricta de los medios a los fines institucionales.</w:t>
      </w:r>
    </w:p>
    <w:p>
      <w:pPr>
        <w:ind w:left="6"/>
        <w:spacing w:after="0"/>
        <w:rPr>
          <w:sz w:val="20"/>
          <w:szCs w:val="20"/>
          <w:color w:val="auto"/>
        </w:rPr>
      </w:pPr>
      <w:r>
        <w:rPr>
          <w:rFonts w:ascii="Arial" w:cs="Arial" w:eastAsia="Arial" w:hAnsi="Arial"/>
          <w:sz w:val="22"/>
          <w:szCs w:val="22"/>
          <w:color w:val="auto"/>
        </w:rPr>
        <w:t>j.- Eficiencia en la asignación y utilización de los recursos públicos.</w:t>
      </w:r>
    </w:p>
    <w:p>
      <w:pPr>
        <w:ind w:left="6"/>
        <w:spacing w:after="0"/>
        <w:rPr>
          <w:sz w:val="20"/>
          <w:szCs w:val="20"/>
          <w:color w:val="auto"/>
        </w:rPr>
      </w:pPr>
      <w:r>
        <w:rPr>
          <w:rFonts w:ascii="Arial" w:cs="Arial" w:eastAsia="Arial" w:hAnsi="Arial"/>
          <w:sz w:val="22"/>
          <w:szCs w:val="22"/>
          <w:color w:val="auto"/>
        </w:rPr>
        <w:t>k.- Cooperación, colaboración y coordinación entre las Administraciones públicas.</w:t>
      </w:r>
    </w:p>
    <w:p>
      <w:pPr>
        <w:spacing w:after="0" w:line="231" w:lineRule="exact"/>
        <w:rPr>
          <w:sz w:val="20"/>
          <w:szCs w:val="20"/>
          <w:color w:val="auto"/>
        </w:rPr>
      </w:pPr>
    </w:p>
    <w:p>
      <w:pPr>
        <w:ind w:left="6" w:firstLine="709"/>
        <w:spacing w:after="0" w:line="276" w:lineRule="auto"/>
        <w:rPr>
          <w:sz w:val="20"/>
          <w:szCs w:val="20"/>
          <w:color w:val="auto"/>
        </w:rPr>
      </w:pPr>
      <w:r>
        <w:rPr>
          <w:rFonts w:ascii="Arial" w:cs="Arial" w:eastAsia="Arial" w:hAnsi="Arial"/>
          <w:sz w:val="22"/>
          <w:szCs w:val="22"/>
          <w:color w:val="auto"/>
        </w:rPr>
        <w:t>El artículo 86 de la Ley 39/2015, de 1 de octubre, del Procedimiento Administrativo Común de las Administraciones Públicas, establece que las Administraciones Públicas podrán celebrar</w:t>
      </w:r>
    </w:p>
    <w:p>
      <w:pPr>
        <w:spacing w:after="0" w:line="15" w:lineRule="exact"/>
        <w:rPr>
          <w:sz w:val="20"/>
          <w:szCs w:val="20"/>
          <w:color w:val="auto"/>
        </w:rPr>
      </w:pPr>
    </w:p>
    <w:p>
      <w:pPr>
        <w:ind w:left="822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4" w:name="page5"/>
    <w:bookmarkEnd w:id="4"/>
    <w:p>
      <w:pPr>
        <w:jc w:val="both"/>
        <w:spacing w:after="0" w:line="247" w:lineRule="auto"/>
        <w:rPr>
          <w:sz w:val="20"/>
          <w:szCs w:val="20"/>
          <w:color w:val="auto"/>
        </w:rPr>
      </w:pPr>
      <w:r>
        <w:rPr>
          <w:rFonts w:ascii="Arial" w:cs="Arial" w:eastAsia="Arial" w:hAnsi="Arial"/>
          <w:sz w:val="22"/>
          <w:szCs w:val="22"/>
          <w:color w:val="auto"/>
        </w:rPr>
        <w:t>acuerdos, pactos, convenios o contratos con personas tanto de Derecho Público como Privado, siempre que no sean contrarios al ordenamiento jurídico, ni versen sobre materias no susceptibles de transacción, y tengan por objeto satisfacer el interés público que tienen encomendado, con el alcance, efectos y régimen jurídico específico que, en su caso, prevea la disposición que lo regule, pudiendo tales actos tener la consideración de finalizadores de los procedimientos administrativos o insertarse en los mismos, con carácter previo, vinculante o no, a la resolución que le ponga fin.</w:t>
      </w:r>
    </w:p>
    <w:p>
      <w:pPr>
        <w:spacing w:after="0" w:line="209" w:lineRule="exact"/>
        <w:rPr>
          <w:sz w:val="20"/>
          <w:szCs w:val="20"/>
          <w:color w:val="auto"/>
        </w:rPr>
      </w:pPr>
    </w:p>
    <w:p>
      <w:pPr>
        <w:jc w:val="both"/>
        <w:ind w:firstLine="709"/>
        <w:spacing w:after="0" w:line="252" w:lineRule="auto"/>
        <w:rPr>
          <w:sz w:val="20"/>
          <w:szCs w:val="20"/>
          <w:color w:val="auto"/>
        </w:rPr>
      </w:pPr>
      <w:r>
        <w:rPr>
          <w:rFonts w:ascii="Arial" w:cs="Arial" w:eastAsia="Arial" w:hAnsi="Arial"/>
          <w:sz w:val="22"/>
          <w:szCs w:val="22"/>
          <w:color w:val="auto"/>
        </w:rPr>
        <w:t>El artículo 48.7 de la Ley 40/2015, de 1 de octubre, de Régimen Jurídico del Sector Público, establece que cuando el convenio instrumente una subvención deberá cumplir con lo previsto en la Ley 38/2003, de 17 de noviembre, General de Subvenciones y en la normativa autonómica de desarrollo que, en su caso, resulte aplicable.</w:t>
      </w:r>
    </w:p>
    <w:p>
      <w:pPr>
        <w:spacing w:after="0" w:line="202" w:lineRule="exact"/>
        <w:rPr>
          <w:sz w:val="20"/>
          <w:szCs w:val="20"/>
          <w:color w:val="auto"/>
        </w:rPr>
      </w:pPr>
    </w:p>
    <w:p>
      <w:pPr>
        <w:jc w:val="both"/>
        <w:ind w:firstLine="709"/>
        <w:spacing w:after="0" w:line="246" w:lineRule="auto"/>
        <w:rPr>
          <w:sz w:val="20"/>
          <w:szCs w:val="20"/>
          <w:color w:val="auto"/>
        </w:rPr>
      </w:pPr>
      <w:r>
        <w:rPr>
          <w:rFonts w:ascii="Arial" w:cs="Arial" w:eastAsia="Arial" w:hAnsi="Arial"/>
          <w:sz w:val="22"/>
          <w:szCs w:val="22"/>
          <w:color w:val="auto"/>
        </w:rPr>
        <w:t>En virtud del artículo 6.2 de la Ley 9/2017, de 8 de noviembre, de Contratos del Sector Público, por la que se transponen al ordenamiento jurídico español las Directivas del Parlamento Europeo y del Consejo 2014/23/UE y 2014/24/UE, de 26 de febrero de 2014, establece que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w:t>
      </w:r>
    </w:p>
    <w:p>
      <w:pPr>
        <w:spacing w:after="0" w:line="209" w:lineRule="exact"/>
        <w:rPr>
          <w:sz w:val="20"/>
          <w:szCs w:val="20"/>
          <w:color w:val="auto"/>
        </w:rPr>
      </w:pPr>
    </w:p>
    <w:p>
      <w:pPr>
        <w:jc w:val="both"/>
        <w:spacing w:after="0" w:line="244" w:lineRule="auto"/>
        <w:rPr>
          <w:sz w:val="20"/>
          <w:szCs w:val="20"/>
          <w:color w:val="auto"/>
        </w:rPr>
      </w:pPr>
      <w:r>
        <w:rPr>
          <w:rFonts w:ascii="Arial" w:cs="Arial" w:eastAsia="Arial" w:hAnsi="Arial"/>
          <w:sz w:val="22"/>
          <w:szCs w:val="22"/>
          <w:color w:val="auto"/>
        </w:rPr>
        <w:t>Por todo ello, de conformidad con el artículo 65 del Real Decreto 887/2006, de 21 de julio por el que se aprueba el Reglamento de la Ley General de Subvenciones, el artículo 20 de la Ordenanza General de Subvenciones de esta Corporación, y en uso de las atribuciones que me confiere el artículo 124, ñ) en relación con la Disposición Adicional Decimocuarta, de la Ley 7/1985, de 2 de abril, Reguladora de las Bases de Régimen Local, la Base 27.1ª de Ejecución de Presupuesto, el Art 185 del Real Decreto Legislativo 2/2004, de 5 de marzo, por el que se aprueba el Texto Refundido de la Ley Reguladora de las Haciendas Locales, y el Decreto de la Presidencia núm. 2019/5003 de fecha 1 de agosto de 2019, rectificado por el Decreto núm. 2019/5005 de fecha 2 de agosto de 2019, de designación del Miembro Corporativo Titular del Área de Acción Social, Igualdad, Diversidad y Juventud, que tendrá la consideración de órgano desconcentrado</w:t>
      </w:r>
    </w:p>
    <w:p>
      <w:pPr>
        <w:spacing w:after="0" w:line="200" w:lineRule="exact"/>
        <w:rPr>
          <w:sz w:val="20"/>
          <w:szCs w:val="20"/>
          <w:color w:val="auto"/>
        </w:rPr>
      </w:pPr>
    </w:p>
    <w:p>
      <w:pPr>
        <w:spacing w:after="0" w:line="264" w:lineRule="exact"/>
        <w:rPr>
          <w:sz w:val="20"/>
          <w:szCs w:val="20"/>
          <w:color w:val="auto"/>
        </w:rPr>
      </w:pPr>
    </w:p>
    <w:p>
      <w:pPr>
        <w:ind w:left="700"/>
        <w:spacing w:after="0"/>
        <w:rPr>
          <w:sz w:val="20"/>
          <w:szCs w:val="20"/>
          <w:color w:val="auto"/>
        </w:rPr>
      </w:pPr>
      <w:r>
        <w:rPr>
          <w:rFonts w:ascii="Arial" w:cs="Arial" w:eastAsia="Arial" w:hAnsi="Arial"/>
          <w:sz w:val="22"/>
          <w:szCs w:val="22"/>
          <w:color w:val="auto"/>
        </w:rPr>
        <w:t xml:space="preserve">Considerando la propuesta emitida por el Servicios Sociales de este Cabildo, </w:t>
      </w:r>
      <w:r>
        <w:rPr>
          <w:rFonts w:ascii="Arial" w:cs="Arial" w:eastAsia="Arial" w:hAnsi="Arial"/>
          <w:sz w:val="22"/>
          <w:szCs w:val="22"/>
          <w:b w:val="1"/>
          <w:bCs w:val="1"/>
          <w:color w:val="auto"/>
        </w:rPr>
        <w:t>RESUELVO</w:t>
      </w:r>
      <w:r>
        <w:rPr>
          <w:rFonts w:ascii="Arial" w:cs="Arial" w:eastAsia="Arial" w:hAnsi="Arial"/>
          <w:sz w:val="22"/>
          <w:szCs w:val="22"/>
          <w:color w:val="auto"/>
        </w:rPr>
        <w:t>:</w:t>
      </w:r>
    </w:p>
    <w:p>
      <w:pPr>
        <w:spacing w:after="0" w:line="253" w:lineRule="exact"/>
        <w:rPr>
          <w:sz w:val="20"/>
          <w:szCs w:val="20"/>
          <w:color w:val="auto"/>
        </w:rPr>
      </w:pPr>
    </w:p>
    <w:p>
      <w:pPr>
        <w:jc w:val="both"/>
        <w:ind w:firstLine="122"/>
        <w:spacing w:after="0" w:line="244" w:lineRule="auto"/>
        <w:rPr>
          <w:sz w:val="20"/>
          <w:szCs w:val="20"/>
          <w:color w:val="auto"/>
        </w:rPr>
      </w:pPr>
      <w:r>
        <w:rPr>
          <w:rFonts w:ascii="Arial" w:cs="Arial" w:eastAsia="Arial" w:hAnsi="Arial"/>
          <w:sz w:val="22"/>
          <w:szCs w:val="22"/>
          <w:b w:val="1"/>
          <w:bCs w:val="1"/>
          <w:color w:val="auto"/>
        </w:rPr>
        <w:t xml:space="preserve">Primero.- </w:t>
      </w:r>
      <w:r>
        <w:rPr>
          <w:rFonts w:ascii="Arial" w:cs="Arial" w:eastAsia="Arial" w:hAnsi="Arial"/>
          <w:sz w:val="22"/>
          <w:szCs w:val="22"/>
          <w:color w:val="auto"/>
        </w:rPr>
        <w:t>Acordar la ordenación del procedimiento administrativo de concesión de subvención</w:t>
      </w:r>
      <w:r>
        <w:rPr>
          <w:rFonts w:ascii="Arial" w:cs="Arial" w:eastAsia="Arial" w:hAnsi="Arial"/>
          <w:sz w:val="22"/>
          <w:szCs w:val="22"/>
          <w:b w:val="1"/>
          <w:bCs w:val="1"/>
          <w:color w:val="auto"/>
        </w:rPr>
        <w:t xml:space="preserve"> </w:t>
      </w:r>
      <w:r>
        <w:rPr>
          <w:rFonts w:ascii="Arial" w:cs="Arial" w:eastAsia="Arial" w:hAnsi="Arial"/>
          <w:sz w:val="22"/>
          <w:szCs w:val="22"/>
          <w:color w:val="auto"/>
        </w:rPr>
        <w:t>nominativa incluida en el Presupuesto General del Excmo. Cabildo Insular de La Palma para el año 2020 a favor de Asociación de Familiares de Enfermos de Alzheimer y otras demencias de La Palma (AFA La Palma), con NIF G38559134, para la prestación del servicio de promoción de la autonomía personal, de conformidad con lo dispuesto en la Disposición Adicional Tercera, punto 3 del Real Decreto 463/2020, de 14 de marzo, por el que se declara el estado de alarma para la gestión de la situación de crisis sanitaria ocasionada por el COVID-19 y con el escrito presentado por el interesado en fecha 08 de abril de 2020, con registro en este Excmo. Cabildo Insular de La Palma número 2020008339.</w:t>
      </w:r>
    </w:p>
    <w:p>
      <w:pPr>
        <w:spacing w:after="0" w:line="215" w:lineRule="exact"/>
        <w:rPr>
          <w:sz w:val="20"/>
          <w:szCs w:val="20"/>
          <w:color w:val="auto"/>
        </w:rPr>
      </w:pPr>
    </w:p>
    <w:p>
      <w:pPr>
        <w:jc w:val="both"/>
        <w:spacing w:after="0" w:line="247" w:lineRule="auto"/>
        <w:rPr>
          <w:sz w:val="20"/>
          <w:szCs w:val="20"/>
          <w:color w:val="auto"/>
        </w:rPr>
      </w:pPr>
      <w:r>
        <w:rPr>
          <w:rFonts w:ascii="Arial" w:cs="Arial" w:eastAsia="Arial" w:hAnsi="Arial"/>
          <w:sz w:val="22"/>
          <w:szCs w:val="22"/>
          <w:b w:val="1"/>
          <w:bCs w:val="1"/>
          <w:color w:val="auto"/>
        </w:rPr>
        <w:t xml:space="preserve">Segundo.- </w:t>
      </w:r>
      <w:r>
        <w:rPr>
          <w:rFonts w:ascii="Arial" w:cs="Arial" w:eastAsia="Arial" w:hAnsi="Arial"/>
          <w:sz w:val="22"/>
          <w:szCs w:val="22"/>
          <w:color w:val="auto"/>
        </w:rPr>
        <w:t>Conceder subvención a la Asociación de Familiares de Enfermos de Alzheimer y otras</w:t>
      </w:r>
      <w:r>
        <w:rPr>
          <w:rFonts w:ascii="Arial" w:cs="Arial" w:eastAsia="Arial" w:hAnsi="Arial"/>
          <w:sz w:val="22"/>
          <w:szCs w:val="22"/>
          <w:b w:val="1"/>
          <w:bCs w:val="1"/>
          <w:color w:val="auto"/>
        </w:rPr>
        <w:t xml:space="preserve"> </w:t>
      </w:r>
      <w:r>
        <w:rPr>
          <w:rFonts w:ascii="Arial" w:cs="Arial" w:eastAsia="Arial" w:hAnsi="Arial"/>
          <w:sz w:val="22"/>
          <w:szCs w:val="22"/>
          <w:color w:val="auto"/>
        </w:rPr>
        <w:t>demencias de La Palma (AFA La Palma), con NIF G38559134, para la prestación del servicio de promoción de la autonomía personal, de acuerdo con la documentación presentada a través del Registro de Entrada de este Excmo Cabildo Insular de La Palma en fecha 25 de marzo de 2020 con Registro de Entrada número 2020007956, así como documentación de subsanación aportada en fecha 02 de abril de 2020, con Registro de Entrada número 2020008144.</w:t>
      </w:r>
    </w:p>
    <w:p>
      <w:pPr>
        <w:spacing w:after="0" w:line="209" w:lineRule="exact"/>
        <w:rPr>
          <w:sz w:val="20"/>
          <w:szCs w:val="20"/>
          <w:color w:val="auto"/>
        </w:rPr>
      </w:pPr>
    </w:p>
    <w:p>
      <w:pPr>
        <w:jc w:val="both"/>
        <w:spacing w:after="0" w:line="249" w:lineRule="auto"/>
        <w:rPr>
          <w:sz w:val="20"/>
          <w:szCs w:val="20"/>
          <w:color w:val="auto"/>
        </w:rPr>
      </w:pPr>
      <w:r>
        <w:rPr>
          <w:rFonts w:ascii="Arial" w:cs="Arial" w:eastAsia="Arial" w:hAnsi="Arial"/>
          <w:sz w:val="22"/>
          <w:szCs w:val="22"/>
          <w:b w:val="1"/>
          <w:bCs w:val="1"/>
          <w:color w:val="auto"/>
        </w:rPr>
        <w:t xml:space="preserve">Tercero.- </w:t>
      </w:r>
      <w:r>
        <w:rPr>
          <w:rFonts w:ascii="Arial" w:cs="Arial" w:eastAsia="Arial" w:hAnsi="Arial"/>
          <w:sz w:val="22"/>
          <w:szCs w:val="22"/>
          <w:color w:val="auto"/>
        </w:rPr>
        <w:t>Reconocer y liquidar la obligación por importe total de</w:t>
      </w:r>
      <w:r>
        <w:rPr>
          <w:rFonts w:ascii="Arial" w:cs="Arial" w:eastAsia="Arial" w:hAnsi="Arial"/>
          <w:sz w:val="22"/>
          <w:szCs w:val="22"/>
          <w:b w:val="1"/>
          <w:bCs w:val="1"/>
          <w:color w:val="auto"/>
        </w:rPr>
        <w:t xml:space="preserve"> </w:t>
      </w:r>
      <w:r>
        <w:rPr>
          <w:rFonts w:ascii="Arial" w:cs="Arial" w:eastAsia="Arial" w:hAnsi="Arial"/>
          <w:sz w:val="23"/>
          <w:szCs w:val="23"/>
          <w:color w:val="auto"/>
        </w:rPr>
        <w:t>CIENTO TREINTA MIL</w:t>
      </w:r>
      <w:r>
        <w:rPr>
          <w:rFonts w:ascii="Arial" w:cs="Arial" w:eastAsia="Arial" w:hAnsi="Arial"/>
          <w:sz w:val="22"/>
          <w:szCs w:val="22"/>
          <w:b w:val="1"/>
          <w:bCs w:val="1"/>
          <w:color w:val="auto"/>
        </w:rPr>
        <w:t xml:space="preserve"> </w:t>
      </w:r>
      <w:r>
        <w:rPr>
          <w:rFonts w:ascii="Arial" w:cs="Arial" w:eastAsia="Arial" w:hAnsi="Arial"/>
          <w:sz w:val="23"/>
          <w:szCs w:val="23"/>
          <w:color w:val="auto"/>
        </w:rPr>
        <w:t>OCHOCIENTOS EUROS (130.800,00 €), con cargo a la aplicación presupuestaria 233.489.10</w:t>
      </w:r>
    </w:p>
    <w:p>
      <w:pPr>
        <w:spacing w:after="0" w:line="2" w:lineRule="exact"/>
        <w:rPr>
          <w:sz w:val="20"/>
          <w:szCs w:val="20"/>
          <w:color w:val="auto"/>
        </w:rPr>
      </w:pPr>
    </w:p>
    <w:p>
      <w:pPr>
        <w:jc w:val="both"/>
        <w:spacing w:after="0" w:line="256" w:lineRule="auto"/>
        <w:rPr>
          <w:sz w:val="20"/>
          <w:szCs w:val="20"/>
          <w:color w:val="auto"/>
        </w:rPr>
      </w:pPr>
      <w:r>
        <w:rPr>
          <w:rFonts w:ascii="Arial" w:cs="Arial" w:eastAsia="Arial" w:hAnsi="Arial"/>
          <w:sz w:val="23"/>
          <w:szCs w:val="23"/>
          <w:color w:val="auto"/>
        </w:rPr>
        <w:t>“SUBVENCIÓN ASOCIACIÓN FAMILIARES DE ENFERMOS DE ALZHEIMER Y OTRAS DEMENCIAS DE LA PALMA. PROMOCIÓN DE LA AUTONOMÍA PERSONAL. GASTOS DE</w:t>
      </w:r>
    </w:p>
    <w:p>
      <w:pPr>
        <w:spacing w:after="0" w:line="241"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5" w:name="page6"/>
    <w:bookmarkEnd w:id="5"/>
    <w:p>
      <w:pPr>
        <w:jc w:val="both"/>
        <w:spacing w:after="0" w:line="276" w:lineRule="auto"/>
        <w:rPr>
          <w:sz w:val="20"/>
          <w:szCs w:val="20"/>
          <w:color w:val="auto"/>
        </w:rPr>
      </w:pPr>
      <w:r>
        <w:rPr>
          <w:rFonts w:ascii="Arial" w:cs="Arial" w:eastAsia="Arial" w:hAnsi="Arial"/>
          <w:sz w:val="23"/>
          <w:szCs w:val="23"/>
          <w:color w:val="auto"/>
        </w:rPr>
        <w:t>MANTENIMIENTO”, y ello como primer plazo del abono de la subvención prevista en el Presupuesto General del Excmo. Cabildo Insular de La Palma para el ejercicio 2020.</w:t>
      </w:r>
    </w:p>
    <w:p>
      <w:pPr>
        <w:spacing w:after="0" w:line="200" w:lineRule="exact"/>
        <w:rPr>
          <w:sz w:val="20"/>
          <w:szCs w:val="20"/>
          <w:color w:val="auto"/>
        </w:rPr>
      </w:pPr>
    </w:p>
    <w:p>
      <w:pPr>
        <w:spacing w:after="0" w:line="346" w:lineRule="exact"/>
        <w:rPr>
          <w:sz w:val="20"/>
          <w:szCs w:val="20"/>
          <w:color w:val="auto"/>
        </w:rPr>
      </w:pPr>
    </w:p>
    <w:p>
      <w:pPr>
        <w:spacing w:after="0"/>
        <w:rPr>
          <w:sz w:val="20"/>
          <w:szCs w:val="20"/>
          <w:color w:val="auto"/>
        </w:rPr>
      </w:pPr>
      <w:r>
        <w:rPr>
          <w:rFonts w:ascii="Arial" w:cs="Arial" w:eastAsia="Arial" w:hAnsi="Arial"/>
          <w:sz w:val="22"/>
          <w:szCs w:val="22"/>
          <w:b w:val="1"/>
          <w:bCs w:val="1"/>
          <w:color w:val="auto"/>
        </w:rPr>
        <w:t xml:space="preserve">Cuarto.- </w:t>
      </w:r>
      <w:r>
        <w:rPr>
          <w:rFonts w:ascii="Arial" w:cs="Arial" w:eastAsia="Arial" w:hAnsi="Arial"/>
          <w:sz w:val="22"/>
          <w:szCs w:val="22"/>
          <w:color w:val="auto"/>
        </w:rPr>
        <w:t>La gestión de la subvención se efectuará con arreglo a las siguientes condiciones:</w:t>
      </w:r>
    </w:p>
    <w:p>
      <w:pPr>
        <w:spacing w:after="0" w:line="200" w:lineRule="exact"/>
        <w:rPr>
          <w:sz w:val="20"/>
          <w:szCs w:val="20"/>
          <w:color w:val="auto"/>
        </w:rPr>
      </w:pPr>
    </w:p>
    <w:p>
      <w:pPr>
        <w:spacing w:after="0" w:line="293" w:lineRule="exact"/>
        <w:rPr>
          <w:sz w:val="20"/>
          <w:szCs w:val="20"/>
          <w:color w:val="auto"/>
        </w:rPr>
      </w:pPr>
    </w:p>
    <w:p>
      <w:pPr>
        <w:spacing w:after="0"/>
        <w:rPr>
          <w:sz w:val="20"/>
          <w:szCs w:val="20"/>
          <w:color w:val="auto"/>
        </w:rPr>
      </w:pPr>
      <w:r>
        <w:rPr>
          <w:rFonts w:ascii="Arial" w:cs="Arial" w:eastAsia="Arial" w:hAnsi="Arial"/>
          <w:sz w:val="22"/>
          <w:szCs w:val="22"/>
          <w:color w:val="auto"/>
        </w:rPr>
        <w:t>PRIMERA.- OBJETO</w:t>
      </w:r>
    </w:p>
    <w:p>
      <w:pPr>
        <w:spacing w:after="0" w:line="253" w:lineRule="exact"/>
        <w:rPr>
          <w:sz w:val="20"/>
          <w:szCs w:val="20"/>
          <w:color w:val="auto"/>
        </w:rPr>
      </w:pPr>
    </w:p>
    <w:p>
      <w:pPr>
        <w:jc w:val="both"/>
        <w:spacing w:after="0" w:line="243" w:lineRule="auto"/>
        <w:rPr>
          <w:sz w:val="20"/>
          <w:szCs w:val="20"/>
          <w:color w:val="auto"/>
        </w:rPr>
      </w:pPr>
      <w:r>
        <w:rPr>
          <w:rFonts w:ascii="Arial" w:cs="Arial" w:eastAsia="Arial" w:hAnsi="Arial"/>
          <w:sz w:val="22"/>
          <w:szCs w:val="22"/>
          <w:color w:val="auto"/>
        </w:rPr>
        <w:t>El objeto de la presente Subvención es regular la cooperación entre las partes firmantes en el Servicio de Promoción de la Autonomía Personal para las personas que Conviven con una Situación de Dependencia, que gestiona la Asociación de Familiares de Enfermos de Alzheimer y otras demencias de La Palma (AFA La Palma), en consonancia con el artículo 22.1 de la Ley 38/2003 de 17 de noviembre, General de Subvenciones, que establece en la letra a) del citado artículo que podrán concederse de forma directa las previstas nominativamente en el Presupuesto de las Entidades Locales, habiéndose establecido en el Presupuesto de esta Corporación Insular para el ejercicio 2018, una consignación nominativa para sufragar los gastos corrientes derivados de la gestión de todos los servicios, centros y residencias para personas mayores y para personas con discapacidad en situación de dependencia, existentes en la isla de La Palma, y que no son gestionados de forma directa o indirecta por el Excmo. Cabildo Insular de La Palma.</w:t>
      </w:r>
    </w:p>
    <w:p>
      <w:pPr>
        <w:spacing w:after="0" w:line="200" w:lineRule="exact"/>
        <w:rPr>
          <w:sz w:val="20"/>
          <w:szCs w:val="20"/>
          <w:color w:val="auto"/>
        </w:rPr>
      </w:pPr>
    </w:p>
    <w:p>
      <w:pPr>
        <w:spacing w:after="0" w:line="200" w:lineRule="exact"/>
        <w:rPr>
          <w:sz w:val="20"/>
          <w:szCs w:val="20"/>
          <w:color w:val="auto"/>
        </w:rPr>
      </w:pPr>
    </w:p>
    <w:p>
      <w:pPr>
        <w:spacing w:after="0" w:line="309" w:lineRule="exact"/>
        <w:rPr>
          <w:sz w:val="20"/>
          <w:szCs w:val="20"/>
          <w:color w:val="auto"/>
        </w:rPr>
      </w:pPr>
    </w:p>
    <w:p>
      <w:pPr>
        <w:jc w:val="both"/>
        <w:spacing w:after="0" w:line="244" w:lineRule="auto"/>
        <w:rPr>
          <w:sz w:val="20"/>
          <w:szCs w:val="20"/>
          <w:color w:val="auto"/>
        </w:rPr>
      </w:pPr>
      <w:r>
        <w:rPr>
          <w:rFonts w:ascii="Arial" w:cs="Arial" w:eastAsia="Arial" w:hAnsi="Arial"/>
          <w:sz w:val="22"/>
          <w:szCs w:val="22"/>
          <w:color w:val="auto"/>
        </w:rPr>
        <w:t>A los efectos de la presente Subvención, se entiende por “plazas autorizadas y de ámbito insular” aquellas destinadas a la prestación de los servicios de centro de día y de noche, así como de atención residencial, y de ayuda a domicilio y prevención y promoción de la autonomía personal, a disposición del Sistema Canario para la Autonomía y Atención a la Dependencia, plazas integradas en la Red de Centros sociosanitarios del Excmo. Cabildo Insular de La Palma, y que éste pone a disposición del sistema, encontrándose el servicio objeto de la presente Subvención destinado a promoción de la autonomía personal, desde el inicio de la vigencia de la subvención el 1 de enero de 2020, de acuerdo con lo previsto en normativa vigente en la materia, excluyéndose los trastornos de conducta.</w:t>
      </w:r>
    </w:p>
    <w:p>
      <w:pPr>
        <w:spacing w:after="0" w:line="200" w:lineRule="exact"/>
        <w:rPr>
          <w:sz w:val="20"/>
          <w:szCs w:val="20"/>
          <w:color w:val="auto"/>
        </w:rPr>
      </w:pPr>
    </w:p>
    <w:p>
      <w:pPr>
        <w:spacing w:after="0" w:line="253" w:lineRule="exact"/>
        <w:rPr>
          <w:sz w:val="20"/>
          <w:szCs w:val="20"/>
          <w:color w:val="auto"/>
        </w:rPr>
      </w:pPr>
    </w:p>
    <w:p>
      <w:pPr>
        <w:spacing w:after="0"/>
        <w:rPr>
          <w:sz w:val="20"/>
          <w:szCs w:val="20"/>
          <w:color w:val="auto"/>
        </w:rPr>
      </w:pPr>
      <w:r>
        <w:rPr>
          <w:rFonts w:ascii="Arial" w:cs="Arial" w:eastAsia="Arial" w:hAnsi="Arial"/>
          <w:sz w:val="22"/>
          <w:szCs w:val="22"/>
          <w:color w:val="auto"/>
        </w:rPr>
        <w:t>SEGUNDA.- REQUISITOS DE ACCESO</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spacing w:after="0" w:line="312" w:lineRule="auto"/>
        <w:rPr>
          <w:sz w:val="20"/>
          <w:szCs w:val="20"/>
          <w:color w:val="auto"/>
        </w:rPr>
      </w:pPr>
      <w:r>
        <w:rPr>
          <w:rFonts w:ascii="Arial" w:cs="Arial" w:eastAsia="Arial" w:hAnsi="Arial"/>
          <w:sz w:val="22"/>
          <w:szCs w:val="22"/>
          <w:color w:val="auto"/>
        </w:rPr>
        <w:t>Podrán ser usuarias/os de estos servicios, las personas en situación de dependencia con derecho a este recurso según normativa vigente.</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spacing w:after="0"/>
        <w:rPr>
          <w:sz w:val="20"/>
          <w:szCs w:val="20"/>
          <w:color w:val="auto"/>
        </w:rPr>
      </w:pPr>
      <w:r>
        <w:rPr>
          <w:rFonts w:ascii="Arial" w:cs="Arial" w:eastAsia="Arial" w:hAnsi="Arial"/>
          <w:sz w:val="22"/>
          <w:szCs w:val="22"/>
          <w:color w:val="auto"/>
        </w:rPr>
        <w:t>TERCERA.- PROCESO DE ADMISIÓN</w:t>
      </w:r>
    </w:p>
    <w:p>
      <w:pPr>
        <w:spacing w:after="0" w:line="253" w:lineRule="exact"/>
        <w:rPr>
          <w:sz w:val="20"/>
          <w:szCs w:val="20"/>
          <w:color w:val="auto"/>
        </w:rPr>
      </w:pPr>
    </w:p>
    <w:p>
      <w:pPr>
        <w:spacing w:after="0"/>
        <w:rPr>
          <w:sz w:val="20"/>
          <w:szCs w:val="20"/>
          <w:color w:val="auto"/>
        </w:rPr>
      </w:pPr>
      <w:r>
        <w:rPr>
          <w:rFonts w:ascii="Arial" w:cs="Arial" w:eastAsia="Arial" w:hAnsi="Arial"/>
          <w:sz w:val="22"/>
          <w:szCs w:val="22"/>
          <w:color w:val="auto"/>
        </w:rPr>
        <w:t>El procedimiento administrativo de acceso al servicio será íntegramente tramitado por el Excmo.</w:t>
      </w:r>
    </w:p>
    <w:p>
      <w:pPr>
        <w:spacing w:after="0" w:line="22" w:lineRule="exact"/>
        <w:rPr>
          <w:sz w:val="20"/>
          <w:szCs w:val="20"/>
          <w:color w:val="auto"/>
        </w:rPr>
      </w:pPr>
    </w:p>
    <w:p>
      <w:pPr>
        <w:spacing w:after="0"/>
        <w:rPr>
          <w:sz w:val="20"/>
          <w:szCs w:val="20"/>
          <w:color w:val="auto"/>
        </w:rPr>
      </w:pPr>
      <w:r>
        <w:rPr>
          <w:rFonts w:ascii="Arial" w:cs="Arial" w:eastAsia="Arial" w:hAnsi="Arial"/>
          <w:sz w:val="22"/>
          <w:szCs w:val="22"/>
          <w:color w:val="auto"/>
        </w:rPr>
        <w:t>Cabildo Insular de La Palma desde su fase de inicio hasta su fase de finalización.</w:t>
      </w:r>
    </w:p>
    <w:p>
      <w:pPr>
        <w:spacing w:after="0" w:line="231" w:lineRule="exact"/>
        <w:rPr>
          <w:sz w:val="20"/>
          <w:szCs w:val="20"/>
          <w:color w:val="auto"/>
        </w:rPr>
      </w:pPr>
    </w:p>
    <w:p>
      <w:pPr>
        <w:jc w:val="both"/>
        <w:spacing w:after="0" w:line="252" w:lineRule="auto"/>
        <w:rPr>
          <w:sz w:val="20"/>
          <w:szCs w:val="20"/>
          <w:color w:val="auto"/>
        </w:rPr>
      </w:pPr>
      <w:r>
        <w:rPr>
          <w:rFonts w:ascii="Arial" w:cs="Arial" w:eastAsia="Arial" w:hAnsi="Arial"/>
          <w:sz w:val="22"/>
          <w:szCs w:val="22"/>
          <w:color w:val="auto"/>
        </w:rPr>
        <w:t>En relación al inicio del procedimiento, este se promoverá a través de la correspondiente solicitud normalizada, a la que se adjuntará la preceptiva documentación, debiendo presentarse en algunos de los registros que se recogen en el apartado 4, del artículo 16 de la Ley 39/2015, de Procedimiento Administrativo Común.</w:t>
      </w:r>
    </w:p>
    <w:p>
      <w:pPr>
        <w:spacing w:after="0" w:line="202" w:lineRule="exact"/>
        <w:rPr>
          <w:sz w:val="20"/>
          <w:szCs w:val="20"/>
          <w:color w:val="auto"/>
        </w:rPr>
      </w:pPr>
    </w:p>
    <w:p>
      <w:pPr>
        <w:jc w:val="both"/>
        <w:spacing w:after="0" w:line="252" w:lineRule="auto"/>
        <w:rPr>
          <w:sz w:val="20"/>
          <w:szCs w:val="20"/>
          <w:color w:val="auto"/>
        </w:rPr>
      </w:pPr>
      <w:r>
        <w:rPr>
          <w:rFonts w:ascii="Arial" w:cs="Arial" w:eastAsia="Arial" w:hAnsi="Arial"/>
          <w:sz w:val="22"/>
          <w:szCs w:val="22"/>
          <w:color w:val="auto"/>
        </w:rPr>
        <w:t>La resolución de acceso, se realizará por la Presidencia del Excmo. Cabildo Insular de La Palma o persona que le sustituya legalmente, tras el oportuno procedimiento administrativo, en consonancia con la normativa vigente en materia de dependencia.</w:t>
      </w: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52"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6" w:name="page7"/>
    <w:bookmarkEnd w:id="6"/>
    <w:p>
      <w:pPr>
        <w:jc w:val="both"/>
        <w:spacing w:after="0" w:line="258" w:lineRule="auto"/>
        <w:rPr>
          <w:sz w:val="20"/>
          <w:szCs w:val="20"/>
          <w:color w:val="auto"/>
        </w:rPr>
      </w:pPr>
      <w:r>
        <w:rPr>
          <w:rFonts w:ascii="Arial" w:cs="Arial" w:eastAsia="Arial" w:hAnsi="Arial"/>
          <w:sz w:val="22"/>
          <w:szCs w:val="22"/>
          <w:color w:val="auto"/>
        </w:rPr>
        <w:t>Los solicitantes declarados admitidos procederán, de existir plaza vacante, a su ingreso o alta en el plazo previsto en la resolución dictada al efecto. En otro caso, se integrarán en una lista de espera que se llevará por riguroso orden cronológico.</w:t>
      </w:r>
    </w:p>
    <w:p>
      <w:pPr>
        <w:spacing w:after="0" w:line="196" w:lineRule="exact"/>
        <w:rPr>
          <w:sz w:val="20"/>
          <w:szCs w:val="20"/>
          <w:color w:val="auto"/>
        </w:rPr>
      </w:pPr>
    </w:p>
    <w:p>
      <w:pPr>
        <w:jc w:val="both"/>
        <w:spacing w:after="0" w:line="245" w:lineRule="auto"/>
        <w:rPr>
          <w:sz w:val="20"/>
          <w:szCs w:val="20"/>
          <w:color w:val="auto"/>
        </w:rPr>
      </w:pPr>
      <w:r>
        <w:rPr>
          <w:rFonts w:ascii="Arial" w:cs="Arial" w:eastAsia="Arial" w:hAnsi="Arial"/>
          <w:sz w:val="22"/>
          <w:szCs w:val="22"/>
          <w:color w:val="auto"/>
        </w:rPr>
        <w:t>Producida la incorporación del usuario se establecerá un periodo de adaptación al servicio, constituido por los treinta días naturales siguientes al de su incorporación al mismo. Si durante dicho periodo se apreciasen circunstancias personales que impidan la atención al usuario, por parte del equipo técnico se procederá a emitir nueva valoración para evaluar la idoneidad del recurso a las necesidades del usuario y comprobar si se alcanzan los objetivos previstos en el programa de atención personalizada, poniéndolo en conocimiento, a través de la dirección del servicio, a la Corporación Insular, a efectos de dictar la resolución que corresponda. Transcurrido dicho periodo el usuario consolidará su derecho a la plaza ocupada.</w:t>
      </w:r>
    </w:p>
    <w:p>
      <w:pPr>
        <w:spacing w:after="0" w:line="200" w:lineRule="exact"/>
        <w:rPr>
          <w:sz w:val="20"/>
          <w:szCs w:val="20"/>
          <w:color w:val="auto"/>
        </w:rPr>
      </w:pPr>
    </w:p>
    <w:p>
      <w:pPr>
        <w:spacing w:after="0" w:line="249" w:lineRule="exact"/>
        <w:rPr>
          <w:sz w:val="20"/>
          <w:szCs w:val="20"/>
          <w:color w:val="auto"/>
        </w:rPr>
      </w:pPr>
    </w:p>
    <w:p>
      <w:pPr>
        <w:jc w:val="both"/>
        <w:spacing w:after="0" w:line="276" w:lineRule="auto"/>
        <w:rPr>
          <w:sz w:val="20"/>
          <w:szCs w:val="20"/>
          <w:color w:val="auto"/>
        </w:rPr>
      </w:pPr>
      <w:r>
        <w:rPr>
          <w:rFonts w:ascii="Arial" w:cs="Arial" w:eastAsia="Arial" w:hAnsi="Arial"/>
          <w:sz w:val="22"/>
          <w:szCs w:val="22"/>
          <w:color w:val="auto"/>
        </w:rPr>
        <w:t>CUARTA.- OBLIGACIONES DE LA ASOCIACIÓN DE FAMILIARES DE ENFERMOS DE ALZHEIMER Y OTRAS DEMENCIAS DE LA PALMA (AFA LA PALMA)</w:t>
      </w:r>
    </w:p>
    <w:p>
      <w:pPr>
        <w:spacing w:after="0" w:line="177" w:lineRule="exact"/>
        <w:rPr>
          <w:sz w:val="20"/>
          <w:szCs w:val="20"/>
          <w:color w:val="auto"/>
        </w:rPr>
      </w:pPr>
    </w:p>
    <w:p>
      <w:pPr>
        <w:jc w:val="both"/>
        <w:spacing w:after="0" w:line="312" w:lineRule="auto"/>
        <w:rPr>
          <w:sz w:val="20"/>
          <w:szCs w:val="20"/>
          <w:color w:val="auto"/>
        </w:rPr>
      </w:pPr>
      <w:r>
        <w:rPr>
          <w:rFonts w:ascii="Arial" w:cs="Arial" w:eastAsia="Arial" w:hAnsi="Arial"/>
          <w:sz w:val="22"/>
          <w:szCs w:val="22"/>
          <w:color w:val="auto"/>
        </w:rPr>
        <w:t>La Asociación de Familiares de Enfermos de Alzheimer y otras demencias de La Palma (AFA La Palma), como responsable de la gestión del servicio se obliga a lo siguiente:</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jc w:val="both"/>
        <w:ind w:left="720" w:hanging="366"/>
        <w:spacing w:after="0" w:line="244" w:lineRule="auto"/>
        <w:tabs>
          <w:tab w:leader="none" w:pos="709" w:val="left"/>
        </w:tabs>
        <w:numPr>
          <w:ilvl w:val="0"/>
          <w:numId w:val="2"/>
        </w:numPr>
        <w:rPr>
          <w:rFonts w:ascii="Arial" w:cs="Arial" w:eastAsia="Arial" w:hAnsi="Arial"/>
          <w:sz w:val="22"/>
          <w:szCs w:val="22"/>
          <w:color w:val="auto"/>
        </w:rPr>
      </w:pPr>
      <w:r>
        <w:rPr>
          <w:rFonts w:ascii="Arial" w:cs="Arial" w:eastAsia="Arial" w:hAnsi="Arial"/>
          <w:sz w:val="22"/>
          <w:szCs w:val="22"/>
          <w:color w:val="auto"/>
        </w:rPr>
        <w:t>Las plazas del servicio de promoción de autonomía personal cumplirán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con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w:t>
      </w:r>
    </w:p>
    <w:p>
      <w:pPr>
        <w:spacing w:after="0" w:line="215" w:lineRule="exact"/>
        <w:rPr>
          <w:rFonts w:ascii="Arial" w:cs="Arial" w:eastAsia="Arial" w:hAnsi="Arial"/>
          <w:sz w:val="22"/>
          <w:szCs w:val="22"/>
          <w:color w:val="auto"/>
        </w:rPr>
      </w:pPr>
    </w:p>
    <w:p>
      <w:pPr>
        <w:jc w:val="both"/>
        <w:ind w:left="720" w:hanging="366"/>
        <w:spacing w:after="0" w:line="246" w:lineRule="auto"/>
        <w:tabs>
          <w:tab w:leader="none" w:pos="709" w:val="left"/>
        </w:tabs>
        <w:numPr>
          <w:ilvl w:val="0"/>
          <w:numId w:val="2"/>
        </w:numPr>
        <w:rPr>
          <w:rFonts w:ascii="Arial" w:cs="Arial" w:eastAsia="Arial" w:hAnsi="Arial"/>
          <w:sz w:val="22"/>
          <w:szCs w:val="22"/>
          <w:color w:val="auto"/>
        </w:rPr>
      </w:pPr>
      <w:r>
        <w:rPr>
          <w:rFonts w:ascii="Arial" w:cs="Arial" w:eastAsia="Arial" w:hAnsi="Arial"/>
          <w:sz w:val="22"/>
          <w:szCs w:val="22"/>
          <w:color w:val="auto"/>
        </w:rPr>
        <w:t>Comunicar mensualmente al Cabildo Insular toda incidencia sobre bajas, altas, traslados, variaciones de tipo económico, estado de las plazas en general, así como cualquier otra información que le sea solicitada, de conformidad con el Convenio que el Excmo. Cabildo Insular de La Palma haya suscrito con la Administración de la Comunidad Autónoma de Canarias para la prestación de los servicios residenciales y centros de día y de noche a personas en situación de dependencia, promoción de la autonomía personal y en general a personas mayores o con discapacidad.</w:t>
      </w:r>
    </w:p>
    <w:p>
      <w:pPr>
        <w:spacing w:after="0" w:line="208" w:lineRule="exact"/>
        <w:rPr>
          <w:rFonts w:ascii="Arial" w:cs="Arial" w:eastAsia="Arial" w:hAnsi="Arial"/>
          <w:sz w:val="22"/>
          <w:szCs w:val="22"/>
          <w:color w:val="auto"/>
        </w:rPr>
      </w:pPr>
    </w:p>
    <w:p>
      <w:pPr>
        <w:jc w:val="both"/>
        <w:ind w:left="720" w:hanging="366"/>
        <w:spacing w:after="0" w:line="244" w:lineRule="auto"/>
        <w:tabs>
          <w:tab w:leader="none" w:pos="709" w:val="left"/>
        </w:tabs>
        <w:numPr>
          <w:ilvl w:val="0"/>
          <w:numId w:val="2"/>
        </w:numPr>
        <w:rPr>
          <w:rFonts w:ascii="Arial" w:cs="Arial" w:eastAsia="Arial" w:hAnsi="Arial"/>
          <w:sz w:val="22"/>
          <w:szCs w:val="22"/>
          <w:color w:val="auto"/>
        </w:rPr>
      </w:pPr>
      <w:r>
        <w:rPr>
          <w:rFonts w:ascii="Arial" w:cs="Arial" w:eastAsia="Arial" w:hAnsi="Arial"/>
          <w:sz w:val="22"/>
          <w:szCs w:val="22"/>
          <w:color w:val="auto"/>
        </w:rPr>
        <w:t>El servicio deberá contar con un Director, en consonancia con lo establecido en el Decreto 67/2012, de 20 de julio, por el que se aprueba el Reglamento Regulador de los centros y servicios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acreditada en el sector y, en ambos casos, haber realizado formación complementaria en las materias sociosanitarias relacionadas con las áreas de conocimiento de atención a la dependencia. Esta formación complementaria deberá contar con un mínimo de 300 horas que deberá ser impartida por entidades públicas o acreditadas en cualificación profesional en dichos ámbitos.</w:t>
      </w:r>
    </w:p>
    <w:p>
      <w:pPr>
        <w:spacing w:after="0" w:line="117" w:lineRule="exact"/>
        <w:rPr>
          <w:rFonts w:ascii="Arial" w:cs="Arial" w:eastAsia="Arial" w:hAnsi="Arial"/>
          <w:sz w:val="22"/>
          <w:szCs w:val="22"/>
          <w:color w:val="auto"/>
        </w:rPr>
      </w:pPr>
    </w:p>
    <w:p>
      <w:pPr>
        <w:jc w:val="both"/>
        <w:ind w:left="700"/>
        <w:spacing w:after="0" w:line="258" w:lineRule="auto"/>
        <w:rPr>
          <w:rFonts w:ascii="Arial" w:cs="Arial" w:eastAsia="Arial" w:hAnsi="Arial"/>
          <w:sz w:val="22"/>
          <w:szCs w:val="22"/>
          <w:color w:val="auto"/>
        </w:rPr>
      </w:pPr>
      <w:r>
        <w:rPr>
          <w:rFonts w:ascii="Arial" w:cs="Arial" w:eastAsia="Arial" w:hAnsi="Arial"/>
          <w:sz w:val="22"/>
          <w:szCs w:val="22"/>
          <w:color w:val="auto"/>
        </w:rPr>
        <w:t>Con el resto del personal se cumplirán las ratios establecidas en el referido Decreto 67/2012, así como cualquier texto normativo que modifique el mismo durante la vigencia de la Subvención. En todo caso la comisión paritaria participará en la selección del personal</w:t>
      </w:r>
    </w:p>
    <w:p>
      <w:pPr>
        <w:spacing w:after="0" w:line="388"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7</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805"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805" w:right="1126" w:bottom="0" w:gutter="0" w:footer="0" w:header="0"/>
          <w:type w:val="continuous"/>
        </w:sectPr>
      </w:pPr>
    </w:p>
    <w:bookmarkStart w:id="7" w:name="page8"/>
    <w:bookmarkEnd w:id="7"/>
    <w:p>
      <w:pPr>
        <w:jc w:val="both"/>
        <w:ind w:left="840"/>
        <w:spacing w:after="0" w:line="276" w:lineRule="auto"/>
        <w:rPr>
          <w:sz w:val="20"/>
          <w:szCs w:val="20"/>
          <w:color w:val="auto"/>
        </w:rPr>
      </w:pPr>
      <w:r>
        <w:rPr>
          <w:rFonts w:ascii="Arial" w:cs="Arial" w:eastAsia="Arial" w:hAnsi="Arial"/>
          <w:sz w:val="22"/>
          <w:szCs w:val="22"/>
          <w:color w:val="auto"/>
        </w:rPr>
        <w:t>que vaya a prestar sus servicios en el centro, según se establece en la cláusula decimoquinta.</w:t>
      </w:r>
    </w:p>
    <w:p>
      <w:pPr>
        <w:spacing w:after="0" w:line="84" w:lineRule="exact"/>
        <w:rPr>
          <w:sz w:val="20"/>
          <w:szCs w:val="20"/>
          <w:color w:val="auto"/>
        </w:rPr>
      </w:pPr>
    </w:p>
    <w:p>
      <w:pPr>
        <w:jc w:val="both"/>
        <w:ind w:left="840"/>
        <w:spacing w:after="0" w:line="276" w:lineRule="auto"/>
        <w:rPr>
          <w:sz w:val="20"/>
          <w:szCs w:val="20"/>
          <w:color w:val="auto"/>
        </w:rPr>
      </w:pPr>
      <w:r>
        <w:rPr>
          <w:rFonts w:ascii="Arial" w:cs="Arial" w:eastAsia="Arial" w:hAnsi="Arial"/>
          <w:sz w:val="22"/>
          <w:szCs w:val="22"/>
          <w:color w:val="auto"/>
        </w:rPr>
        <w:t>No se considerará gasto subvencionable el coste del trabajador que haya sido contratado sin autorización de la comisión paritaria a partir de concesión de la presente Subvención.</w:t>
      </w:r>
    </w:p>
    <w:p>
      <w:pPr>
        <w:spacing w:after="0" w:line="84" w:lineRule="exact"/>
        <w:rPr>
          <w:sz w:val="20"/>
          <w:szCs w:val="20"/>
          <w:color w:val="auto"/>
        </w:rPr>
      </w:pPr>
    </w:p>
    <w:p>
      <w:pPr>
        <w:jc w:val="both"/>
        <w:ind w:left="840"/>
        <w:spacing w:after="0" w:line="249" w:lineRule="auto"/>
        <w:rPr>
          <w:sz w:val="20"/>
          <w:szCs w:val="20"/>
          <w:color w:val="auto"/>
        </w:rPr>
      </w:pPr>
      <w:r>
        <w:rPr>
          <w:rFonts w:ascii="Arial" w:cs="Arial" w:eastAsia="Arial" w:hAnsi="Arial"/>
          <w:sz w:val="22"/>
          <w:szCs w:val="22"/>
          <w:color w:val="auto"/>
        </w:rPr>
        <w:t>La suscripción de la presente Subvención no implicará la existencia de vínculo jurídico laboral alguno entre el personal contratado y la Corporación Insular. Tampoco se producirá a la finalización de la vigencia de la presente Subvención, una subrogación empresarial del Cabildo en los términos previstos en el vigente Estatuto de los Trabajadores, aprobado por Real Decreto Legislativo 1/1995, de 24 de marzo.</w:t>
      </w:r>
    </w:p>
    <w:p>
      <w:pPr>
        <w:spacing w:after="0" w:line="206" w:lineRule="exact"/>
        <w:rPr>
          <w:sz w:val="20"/>
          <w:szCs w:val="20"/>
          <w:color w:val="auto"/>
        </w:rPr>
      </w:pPr>
    </w:p>
    <w:p>
      <w:pPr>
        <w:jc w:val="both"/>
        <w:ind w:left="860" w:hanging="366"/>
        <w:spacing w:after="0" w:line="245" w:lineRule="auto"/>
        <w:tabs>
          <w:tab w:leader="none" w:pos="849" w:val="left"/>
        </w:tabs>
        <w:numPr>
          <w:ilvl w:val="0"/>
          <w:numId w:val="3"/>
        </w:numPr>
        <w:rPr>
          <w:rFonts w:ascii="Arial" w:cs="Arial" w:eastAsia="Arial" w:hAnsi="Arial"/>
          <w:sz w:val="22"/>
          <w:szCs w:val="22"/>
          <w:color w:val="auto"/>
        </w:rPr>
      </w:pPr>
      <w:r>
        <w:rPr>
          <w:rFonts w:ascii="Arial" w:cs="Arial" w:eastAsia="Arial" w:hAnsi="Arial"/>
          <w:sz w:val="22"/>
          <w:szCs w:val="22"/>
          <w:color w:val="auto"/>
        </w:rPr>
        <w:t>A fin de garantizar la debida confidencialidad, el servicio de atención y el personal que tenga relación directa o indirecta con la prestación del servicio objeto de esta Subvención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w:t>
      </w:r>
    </w:p>
    <w:p>
      <w:pPr>
        <w:spacing w:after="0" w:line="210" w:lineRule="exact"/>
        <w:rPr>
          <w:rFonts w:ascii="Arial" w:cs="Arial" w:eastAsia="Arial" w:hAnsi="Arial"/>
          <w:sz w:val="22"/>
          <w:szCs w:val="22"/>
          <w:color w:val="auto"/>
        </w:rPr>
      </w:pPr>
    </w:p>
    <w:p>
      <w:pPr>
        <w:jc w:val="both"/>
        <w:ind w:left="840" w:hanging="349"/>
        <w:spacing w:after="0" w:line="246" w:lineRule="auto"/>
        <w:tabs>
          <w:tab w:leader="none" w:pos="835" w:val="left"/>
        </w:tabs>
        <w:numPr>
          <w:ilvl w:val="0"/>
          <w:numId w:val="3"/>
        </w:numPr>
        <w:rPr>
          <w:rFonts w:ascii="Arial" w:cs="Arial" w:eastAsia="Arial" w:hAnsi="Arial"/>
          <w:sz w:val="22"/>
          <w:szCs w:val="22"/>
          <w:color w:val="auto"/>
        </w:rPr>
      </w:pPr>
      <w:r>
        <w:rPr>
          <w:rFonts w:ascii="Arial" w:cs="Arial" w:eastAsia="Arial" w:hAnsi="Arial"/>
          <w:sz w:val="22"/>
          <w:szCs w:val="22"/>
          <w:color w:val="auto"/>
        </w:rPr>
        <w:t>La Asociación de Familiares de Enfermos de Alzheimer y otras demencias de La Palma (AFA La Palma) se compromete a colocar el logotipo del Excmo. Cabildo Insular de La Palma y la identidad corporativa gráfica del Gobierno de Canarias, a los efectos de dar a conocer el carácter cofinanciador por los mismos, en carteles, placas conmemorativas, material impreso, medios electrónicos o audiovisuales o bien en menciones realizadas en medios de comunicación. A tal fin, las identidades corporativas que se deberán tener en cuenta serán las siguientes:</w:t>
      </w:r>
    </w:p>
    <w:p>
      <w:pPr>
        <w:spacing w:after="0" w:line="200" w:lineRule="exact"/>
        <w:rPr>
          <w:rFonts w:ascii="Arial" w:cs="Arial" w:eastAsia="Arial" w:hAnsi="Arial"/>
          <w:sz w:val="22"/>
          <w:szCs w:val="22"/>
          <w:color w:val="auto"/>
        </w:rPr>
      </w:pPr>
    </w:p>
    <w:p>
      <w:pPr>
        <w:spacing w:after="0" w:line="261" w:lineRule="exact"/>
        <w:rPr>
          <w:rFonts w:ascii="Arial" w:cs="Arial" w:eastAsia="Arial" w:hAnsi="Arial"/>
          <w:sz w:val="22"/>
          <w:szCs w:val="22"/>
          <w:color w:val="auto"/>
        </w:rPr>
      </w:pPr>
    </w:p>
    <w:p>
      <w:pPr>
        <w:ind w:left="860"/>
        <w:spacing w:after="0"/>
        <w:rPr>
          <w:rFonts w:ascii="Arial" w:cs="Arial" w:eastAsia="Arial" w:hAnsi="Arial"/>
          <w:sz w:val="22"/>
          <w:szCs w:val="22"/>
          <w:color w:val="auto"/>
        </w:rPr>
      </w:pPr>
      <w:r>
        <w:rPr>
          <w:rFonts w:ascii="Arial" w:cs="Arial" w:eastAsia="Arial" w:hAnsi="Arial"/>
          <w:sz w:val="22"/>
          <w:szCs w:val="22"/>
          <w:color w:val="auto"/>
        </w:rPr>
        <w:t>Excmo. Cabildo Insular de La Palma: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805180</wp:posOffset>
            </wp:positionH>
            <wp:positionV relativeFrom="paragraph">
              <wp:posOffset>170180</wp:posOffset>
            </wp:positionV>
            <wp:extent cx="800100" cy="122809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extLst>
                    </a:blip>
                    <a:srcRect/>
                    <a:stretch>
                      <a:fillRect/>
                    </a:stretch>
                  </pic:blipFill>
                  <pic:spPr bwMode="auto">
                    <a:xfrm>
                      <a:off x="0" y="0"/>
                      <a:ext cx="800100" cy="12280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6" w:lineRule="exact"/>
        <w:rPr>
          <w:sz w:val="20"/>
          <w:szCs w:val="20"/>
          <w:color w:val="auto"/>
        </w:rPr>
      </w:pPr>
    </w:p>
    <w:p>
      <w:pPr>
        <w:spacing w:after="0" w:line="312" w:lineRule="auto"/>
        <w:rPr>
          <w:sz w:val="20"/>
          <w:szCs w:val="20"/>
          <w:color w:val="auto"/>
        </w:rPr>
      </w:pPr>
      <w:r>
        <w:rPr>
          <w:rFonts w:ascii="Arial" w:cs="Arial" w:eastAsia="Arial" w:hAnsi="Arial"/>
          <w:sz w:val="22"/>
          <w:szCs w:val="22"/>
          <w:color w:val="auto"/>
        </w:rPr>
        <w:t>Se podrá descargar este modelo de logotipo en la página web del Excmo. Cabildo Insular de La Palma; www.cabildodelapalma.es, de acuerdo con la siguiente ruta:</w:t>
      </w:r>
    </w:p>
    <w:p>
      <w:pPr>
        <w:spacing w:after="0" w:line="124" w:lineRule="exact"/>
        <w:rPr>
          <w:sz w:val="20"/>
          <w:szCs w:val="20"/>
          <w:color w:val="auto"/>
        </w:rPr>
      </w:pPr>
    </w:p>
    <w:p>
      <w:pPr>
        <w:spacing w:after="0"/>
        <w:rPr>
          <w:sz w:val="20"/>
          <w:szCs w:val="20"/>
          <w:color w:val="auto"/>
        </w:rPr>
      </w:pPr>
      <w:r>
        <w:rPr>
          <w:rFonts w:ascii="Arial" w:cs="Arial" w:eastAsia="Arial" w:hAnsi="Arial"/>
          <w:sz w:val="22"/>
          <w:szCs w:val="22"/>
          <w:color w:val="auto"/>
        </w:rPr>
        <w:t>inicio/cabildo/identidadcorporativa.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ind w:left="660"/>
        <w:spacing w:after="0"/>
        <w:rPr>
          <w:sz w:val="20"/>
          <w:szCs w:val="20"/>
          <w:color w:val="auto"/>
        </w:rPr>
      </w:pPr>
      <w:r>
        <w:rPr>
          <w:rFonts w:ascii="Arial" w:cs="Arial" w:eastAsia="Arial" w:hAnsi="Arial"/>
          <w:sz w:val="22"/>
          <w:szCs w:val="22"/>
          <w:color w:val="auto"/>
        </w:rPr>
        <w:t>Gobierno de Canarias: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8" w:lineRule="exact"/>
        <w:rPr>
          <w:sz w:val="20"/>
          <w:szCs w:val="20"/>
          <w:color w:val="auto"/>
        </w:rPr>
      </w:pPr>
    </w:p>
    <w:p>
      <w:pPr>
        <w:ind w:left="836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780"/>
          </w:cols>
          <w:pgMar w:left="100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80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-187960</wp:posOffset>
            </wp:positionH>
            <wp:positionV relativeFrom="paragraph">
              <wp:posOffset>-374015</wp:posOffset>
            </wp:positionV>
            <wp:extent cx="6577965" cy="36322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80"/>
          </w:cols>
          <w:pgMar w:left="1000" w:top="552" w:right="1126" w:bottom="0" w:gutter="0" w:footer="0" w:header="0"/>
          <w:type w:val="continuous"/>
        </w:sectPr>
      </w:pPr>
    </w:p>
    <w:bookmarkStart w:id="8" w:name="page9"/>
    <w:bookmarkEnd w:id="8"/>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1056005</wp:posOffset>
            </wp:positionH>
            <wp:positionV relativeFrom="page">
              <wp:posOffset>360045</wp:posOffset>
            </wp:positionV>
            <wp:extent cx="2519680" cy="141033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clrChange>
                        <a:clrFrom>
                          <a:srgbClr val="FFFFFF"/>
                        </a:clrFrom>
                        <a:clrTo>
                          <a:srgbClr val="FFFFFF">
                            <a:alpha val="0"/>
                          </a:srgbClr>
                        </a:clrTo>
                      </a:clrChange>
                      <a:extLst>
                        <a:ext uri="{28A0092B-C50C-407E-A947-70E740481C1C}"/>
                      </a:extLst>
                    </a:blip>
                    <a:srcRect/>
                    <a:stretch>
                      <a:fillRect/>
                    </a:stretch>
                  </pic:blipFill>
                  <pic:spPr bwMode="auto">
                    <a:xfrm>
                      <a:off x="0" y="0"/>
                      <a:ext cx="2519680" cy="141033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1" w:lineRule="exact"/>
        <w:rPr>
          <w:sz w:val="20"/>
          <w:szCs w:val="20"/>
          <w:color w:val="auto"/>
        </w:rPr>
      </w:pPr>
    </w:p>
    <w:p>
      <w:pPr>
        <w:spacing w:after="0"/>
        <w:rPr>
          <w:sz w:val="20"/>
          <w:szCs w:val="20"/>
          <w:color w:val="auto"/>
        </w:rPr>
      </w:pPr>
      <w:r>
        <w:rPr>
          <w:rFonts w:ascii="Arial" w:cs="Arial" w:eastAsia="Arial" w:hAnsi="Arial"/>
          <w:sz w:val="22"/>
          <w:szCs w:val="22"/>
          <w:color w:val="auto"/>
        </w:rPr>
        <w:t>Se podrá descargar este modelo de logotipo en el Manual de la Identidad Gráfica del Gobierno de</w:t>
      </w:r>
    </w:p>
    <w:p>
      <w:pPr>
        <w:spacing w:after="0" w:line="38" w:lineRule="exact"/>
        <w:rPr>
          <w:sz w:val="20"/>
          <w:szCs w:val="20"/>
          <w:color w:val="auto"/>
        </w:rPr>
      </w:pPr>
    </w:p>
    <w:p>
      <w:pPr>
        <w:spacing w:after="0"/>
        <w:rPr>
          <w:sz w:val="20"/>
          <w:szCs w:val="20"/>
          <w:color w:val="auto"/>
        </w:rPr>
      </w:pPr>
      <w:r>
        <w:rPr>
          <w:rFonts w:ascii="Arial" w:cs="Arial" w:eastAsia="Arial" w:hAnsi="Arial"/>
          <w:sz w:val="22"/>
          <w:szCs w:val="22"/>
          <w:color w:val="auto"/>
        </w:rPr>
        <w:t>Canarias, en la siguiente dirección:</w:t>
      </w:r>
    </w:p>
    <w:p>
      <w:pPr>
        <w:spacing w:after="0" w:line="238" w:lineRule="exact"/>
        <w:rPr>
          <w:sz w:val="20"/>
          <w:szCs w:val="20"/>
          <w:color w:val="auto"/>
        </w:rPr>
      </w:pPr>
    </w:p>
    <w:p>
      <w:pPr>
        <w:spacing w:after="0"/>
        <w:rPr>
          <w:sz w:val="20"/>
          <w:szCs w:val="20"/>
          <w:color w:val="auto"/>
        </w:rPr>
      </w:pPr>
      <w:r>
        <w:rPr>
          <w:rFonts w:ascii="Arial" w:cs="Arial" w:eastAsia="Arial" w:hAnsi="Arial"/>
          <w:sz w:val="22"/>
          <w:szCs w:val="22"/>
          <w:color w:val="auto"/>
        </w:rPr>
        <w:t>http://www.gobiernodecanarias.org/identidadgrafica/zona_de_descarga.jsp</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8" w:lineRule="exact"/>
        <w:rPr>
          <w:sz w:val="20"/>
          <w:szCs w:val="20"/>
          <w:color w:val="auto"/>
        </w:rPr>
      </w:pPr>
    </w:p>
    <w:p>
      <w:pPr>
        <w:jc w:val="both"/>
        <w:ind w:left="860" w:hanging="366"/>
        <w:spacing w:after="0" w:line="258" w:lineRule="auto"/>
        <w:tabs>
          <w:tab w:leader="none" w:pos="849" w:val="left"/>
        </w:tabs>
        <w:numPr>
          <w:ilvl w:val="0"/>
          <w:numId w:val="4"/>
        </w:numPr>
        <w:rPr>
          <w:rFonts w:ascii="Arial" w:cs="Arial" w:eastAsia="Arial" w:hAnsi="Arial"/>
          <w:sz w:val="22"/>
          <w:szCs w:val="22"/>
          <w:color w:val="auto"/>
        </w:rPr>
      </w:pPr>
      <w:r>
        <w:rPr>
          <w:rFonts w:ascii="Arial" w:cs="Arial" w:eastAsia="Arial" w:hAnsi="Arial"/>
          <w:sz w:val="22"/>
          <w:szCs w:val="22"/>
          <w:color w:val="auto"/>
        </w:rPr>
        <w:t>La Asociación de Familiares de Enfermos de Alzheimer y otras demencias de La Palma (AFA La Palma) se compromete a justificar la cuantía del importe de la subvención por el coste total de los gastos incurridos en la realización de la actividad subvencionable.</w:t>
      </w:r>
    </w:p>
    <w:p>
      <w:pPr>
        <w:spacing w:after="0" w:line="196" w:lineRule="exact"/>
        <w:rPr>
          <w:rFonts w:ascii="Arial" w:cs="Arial" w:eastAsia="Arial" w:hAnsi="Arial"/>
          <w:sz w:val="22"/>
          <w:szCs w:val="22"/>
          <w:color w:val="auto"/>
        </w:rPr>
      </w:pPr>
    </w:p>
    <w:p>
      <w:pPr>
        <w:jc w:val="both"/>
        <w:ind w:left="860"/>
        <w:spacing w:after="0" w:line="285" w:lineRule="auto"/>
        <w:rPr>
          <w:rFonts w:ascii="Arial" w:cs="Arial" w:eastAsia="Arial" w:hAnsi="Arial"/>
          <w:sz w:val="22"/>
          <w:szCs w:val="22"/>
          <w:color w:val="auto"/>
        </w:rPr>
      </w:pPr>
      <w:r>
        <w:rPr>
          <w:rFonts w:ascii="Arial" w:cs="Arial" w:eastAsia="Arial" w:hAnsi="Arial"/>
          <w:sz w:val="22"/>
          <w:szCs w:val="22"/>
          <w:color w:val="auto"/>
        </w:rPr>
        <w:t>Cuando las actividades hayan sido financiadas además de con la subvención de este Excmo. Cabildo, con fondos propios u otras subvenciones o recursos, deberá acreditarse en la justificación el importe, procedencia y aplicación de tales fondos a las actividades subvencionadas, de forma que en ningún caso los ingresos obtenidos podrán ser superiores al coste de la actividad subvencionada.</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43" w:lineRule="exact"/>
        <w:rPr>
          <w:rFonts w:ascii="Arial" w:cs="Arial" w:eastAsia="Arial" w:hAnsi="Arial"/>
          <w:sz w:val="22"/>
          <w:szCs w:val="22"/>
          <w:color w:val="auto"/>
        </w:rPr>
      </w:pPr>
    </w:p>
    <w:p>
      <w:pPr>
        <w:jc w:val="both"/>
        <w:ind w:left="860"/>
        <w:spacing w:after="0" w:line="280" w:lineRule="auto"/>
        <w:rPr>
          <w:rFonts w:ascii="Arial" w:cs="Arial" w:eastAsia="Arial" w:hAnsi="Arial"/>
          <w:sz w:val="22"/>
          <w:szCs w:val="22"/>
          <w:color w:val="auto"/>
        </w:rPr>
      </w:pPr>
      <w:r>
        <w:rPr>
          <w:rFonts w:ascii="Arial" w:cs="Arial" w:eastAsia="Arial" w:hAnsi="Arial"/>
          <w:sz w:val="22"/>
          <w:szCs w:val="22"/>
          <w:color w:val="auto"/>
        </w:rPr>
        <w:t>La Asociación de Familiares de Enfermos de Alzheimer y otras demencias de La Palma (AFA La Palma) se compromete a comunicar la concesión de otras ayudas, subvenciones, ingresos o recursos que financien la actividad subvencionada tan pronto como se conozca y, en todo caso, con anterioridad a la justificación de la aplicación dada a los fondos percibidos, facilitar, en cualquier momento y a solicitud de este Excmo. Cabildo cualquier otra información o documento relacionado con el funcionamiento del servicio, así como a la cesión de cualquier otro dato que, a los efectos de integrarlo en la aplicación informática “Sistema de Información de Dependencia de Canarias (SIDCAN)” del Servicio Canario de la Salud, le sean requeridos.</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53" w:lineRule="exact"/>
        <w:rPr>
          <w:rFonts w:ascii="Arial" w:cs="Arial" w:eastAsia="Arial" w:hAnsi="Arial"/>
          <w:sz w:val="22"/>
          <w:szCs w:val="22"/>
          <w:color w:val="auto"/>
        </w:rPr>
      </w:pPr>
    </w:p>
    <w:p>
      <w:pPr>
        <w:jc w:val="both"/>
        <w:ind w:left="860" w:hanging="366"/>
        <w:spacing w:after="0" w:line="246" w:lineRule="auto"/>
        <w:tabs>
          <w:tab w:leader="none" w:pos="849" w:val="left"/>
        </w:tabs>
        <w:numPr>
          <w:ilvl w:val="0"/>
          <w:numId w:val="4"/>
        </w:numPr>
        <w:rPr>
          <w:rFonts w:ascii="Arial" w:cs="Arial" w:eastAsia="Arial" w:hAnsi="Arial"/>
          <w:sz w:val="22"/>
          <w:szCs w:val="22"/>
          <w:color w:val="auto"/>
        </w:rPr>
      </w:pPr>
      <w:r>
        <w:rPr>
          <w:rFonts w:ascii="Arial" w:cs="Arial" w:eastAsia="Arial" w:hAnsi="Arial"/>
          <w:sz w:val="22"/>
          <w:szCs w:val="22"/>
          <w:color w:val="auto"/>
        </w:rPr>
        <w:t>La Asociación de Familiares de Enfermos de Alzheimer y otras demencias de La Palma (AFA La Palma) se obliga a presentar a este Excmo. Cabildo Insular de La Palma un certificado emitido por el/la Secretario/a de la entidad con el visto bueno del Presidente, de las aportaciones realizadas por los usuarios sujetos al servicio con carácter mensual en los diez días naturales siguientes a la finalización de cada, según ANEXO V, y en las que se certifique que las referidas aportaciones se destinan a la ejecución del objeto de la subvención.</w:t>
      </w:r>
    </w:p>
    <w:p>
      <w:pPr>
        <w:spacing w:after="0" w:line="200" w:lineRule="exact"/>
        <w:rPr>
          <w:rFonts w:ascii="Arial" w:cs="Arial" w:eastAsia="Arial" w:hAnsi="Arial"/>
          <w:sz w:val="22"/>
          <w:szCs w:val="22"/>
          <w:color w:val="auto"/>
        </w:rPr>
      </w:pPr>
    </w:p>
    <w:p>
      <w:pPr>
        <w:spacing w:after="0" w:line="246" w:lineRule="exact"/>
        <w:rPr>
          <w:rFonts w:ascii="Arial" w:cs="Arial" w:eastAsia="Arial" w:hAnsi="Arial"/>
          <w:sz w:val="22"/>
          <w:szCs w:val="22"/>
          <w:color w:val="auto"/>
        </w:rPr>
      </w:pPr>
    </w:p>
    <w:p>
      <w:pPr>
        <w:jc w:val="both"/>
        <w:ind w:left="860" w:hanging="366"/>
        <w:spacing w:after="0" w:line="258" w:lineRule="auto"/>
        <w:tabs>
          <w:tab w:leader="none" w:pos="849" w:val="left"/>
        </w:tabs>
        <w:numPr>
          <w:ilvl w:val="0"/>
          <w:numId w:val="4"/>
        </w:numPr>
        <w:rPr>
          <w:rFonts w:ascii="Arial" w:cs="Arial" w:eastAsia="Arial" w:hAnsi="Arial"/>
          <w:sz w:val="22"/>
          <w:szCs w:val="22"/>
          <w:color w:val="auto"/>
        </w:rPr>
      </w:pPr>
      <w:r>
        <w:rPr>
          <w:rFonts w:ascii="Arial" w:cs="Arial" w:eastAsia="Arial" w:hAnsi="Arial"/>
          <w:sz w:val="22"/>
          <w:szCs w:val="22"/>
          <w:color w:val="auto"/>
        </w:rPr>
        <w:t>La Asociación de Familiares de Enfermos de Alzheimer y otras demencias de La Palma (AFA La Palma) reintegrará todas aquellas cantidades indebidamente percibidas por no</w:t>
      </w:r>
    </w:p>
    <w:p>
      <w:pPr>
        <w:ind w:left="836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780"/>
          </w:cols>
          <w:pgMar w:left="100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ind w:left="80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-187960</wp:posOffset>
            </wp:positionH>
            <wp:positionV relativeFrom="paragraph">
              <wp:posOffset>-374015</wp:posOffset>
            </wp:positionV>
            <wp:extent cx="6577965" cy="36322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80"/>
          </w:cols>
          <w:pgMar w:left="1000" w:top="1440" w:right="1126" w:bottom="0" w:gutter="0" w:footer="0" w:header="0"/>
          <w:type w:val="continuous"/>
        </w:sectPr>
      </w:pPr>
    </w:p>
    <w:bookmarkStart w:id="9" w:name="page10"/>
    <w:bookmarkEnd w:id="9"/>
    <w:p>
      <w:pPr>
        <w:jc w:val="both"/>
        <w:ind w:left="720"/>
        <w:spacing w:after="0" w:line="246" w:lineRule="auto"/>
        <w:rPr>
          <w:sz w:val="20"/>
          <w:szCs w:val="20"/>
          <w:color w:val="auto"/>
        </w:rPr>
      </w:pPr>
      <w:r>
        <w:rPr>
          <w:rFonts w:ascii="Arial" w:cs="Arial" w:eastAsia="Arial" w:hAnsi="Arial"/>
          <w:sz w:val="22"/>
          <w:szCs w:val="22"/>
          <w:color w:val="auto"/>
        </w:rPr>
        <w:t>haberse justificado conforme a lo dispuesto en la Cláusula Decimosegunda, o por el incumplimiento de alguna de las condiciones establecidas en el resto de la Resolución de concesión,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w:t>
      </w:r>
    </w:p>
    <w:p>
      <w:pPr>
        <w:spacing w:after="0" w:line="209" w:lineRule="exact"/>
        <w:rPr>
          <w:sz w:val="20"/>
          <w:szCs w:val="20"/>
          <w:color w:val="auto"/>
        </w:rPr>
      </w:pPr>
    </w:p>
    <w:p>
      <w:pPr>
        <w:spacing w:after="0"/>
        <w:rPr>
          <w:sz w:val="20"/>
          <w:szCs w:val="20"/>
          <w:color w:val="auto"/>
        </w:rPr>
      </w:pPr>
      <w:r>
        <w:rPr>
          <w:rFonts w:ascii="Arial" w:cs="Arial" w:eastAsia="Arial" w:hAnsi="Arial"/>
          <w:sz w:val="22"/>
          <w:szCs w:val="22"/>
          <w:color w:val="auto"/>
        </w:rPr>
        <w:t>QUINTA.- OBLIGACIONES DEL EXCMO. CABILDO INSULAR DE LA PALMA</w:t>
      </w:r>
    </w:p>
    <w:p>
      <w:pPr>
        <w:spacing w:after="0" w:line="253" w:lineRule="exact"/>
        <w:rPr>
          <w:sz w:val="20"/>
          <w:szCs w:val="20"/>
          <w:color w:val="auto"/>
        </w:rPr>
      </w:pPr>
    </w:p>
    <w:p>
      <w:pPr>
        <w:ind w:left="720" w:hanging="366"/>
        <w:spacing w:after="0" w:line="276" w:lineRule="auto"/>
        <w:tabs>
          <w:tab w:leader="none" w:pos="709" w:val="left"/>
        </w:tabs>
        <w:numPr>
          <w:ilvl w:val="0"/>
          <w:numId w:val="5"/>
        </w:numPr>
        <w:rPr>
          <w:rFonts w:ascii="Arial" w:cs="Arial" w:eastAsia="Arial" w:hAnsi="Arial"/>
          <w:sz w:val="22"/>
          <w:szCs w:val="22"/>
          <w:color w:val="auto"/>
        </w:rPr>
      </w:pPr>
      <w:r>
        <w:rPr>
          <w:rFonts w:ascii="Arial" w:cs="Arial" w:eastAsia="Arial" w:hAnsi="Arial"/>
          <w:sz w:val="22"/>
          <w:szCs w:val="22"/>
          <w:color w:val="auto"/>
        </w:rPr>
        <w:t>Abonar a La Asociación de Familiares de Enfermos de Alzheimer y otras demencias de La Palma (AFA La Palma) la cantidad que se establece en la siguiente cláusula.</w:t>
      </w:r>
    </w:p>
    <w:p>
      <w:pPr>
        <w:spacing w:after="0" w:line="177" w:lineRule="exact"/>
        <w:rPr>
          <w:rFonts w:ascii="Arial" w:cs="Arial" w:eastAsia="Arial" w:hAnsi="Arial"/>
          <w:sz w:val="22"/>
          <w:szCs w:val="22"/>
          <w:color w:val="auto"/>
        </w:rPr>
      </w:pPr>
    </w:p>
    <w:p>
      <w:pPr>
        <w:ind w:left="720" w:hanging="366"/>
        <w:spacing w:after="0" w:line="276" w:lineRule="auto"/>
        <w:tabs>
          <w:tab w:leader="none" w:pos="709" w:val="left"/>
        </w:tabs>
        <w:numPr>
          <w:ilvl w:val="0"/>
          <w:numId w:val="5"/>
        </w:numPr>
        <w:rPr>
          <w:rFonts w:ascii="Arial" w:cs="Arial" w:eastAsia="Arial" w:hAnsi="Arial"/>
          <w:sz w:val="22"/>
          <w:szCs w:val="22"/>
          <w:color w:val="auto"/>
        </w:rPr>
      </w:pPr>
      <w:r>
        <w:rPr>
          <w:rFonts w:ascii="Arial" w:cs="Arial" w:eastAsia="Arial" w:hAnsi="Arial"/>
          <w:sz w:val="22"/>
          <w:szCs w:val="22"/>
          <w:color w:val="auto"/>
        </w:rPr>
        <w:t>Realizar cuantos controles periódicos de la correcta prestación y ocupación de los servicios por las personas en situación de dependencia reconocida considere convenientes.</w:t>
      </w:r>
    </w:p>
    <w:p>
      <w:pPr>
        <w:spacing w:after="0" w:line="177" w:lineRule="exact"/>
        <w:rPr>
          <w:rFonts w:ascii="Arial" w:cs="Arial" w:eastAsia="Arial" w:hAnsi="Arial"/>
          <w:sz w:val="22"/>
          <w:szCs w:val="22"/>
          <w:color w:val="auto"/>
        </w:rPr>
      </w:pPr>
    </w:p>
    <w:p>
      <w:pPr>
        <w:ind w:left="720" w:hanging="366"/>
        <w:spacing w:after="0" w:line="276" w:lineRule="auto"/>
        <w:tabs>
          <w:tab w:leader="none" w:pos="709" w:val="left"/>
        </w:tabs>
        <w:numPr>
          <w:ilvl w:val="0"/>
          <w:numId w:val="5"/>
        </w:numPr>
        <w:rPr>
          <w:rFonts w:ascii="Arial" w:cs="Arial" w:eastAsia="Arial" w:hAnsi="Arial"/>
          <w:sz w:val="22"/>
          <w:szCs w:val="22"/>
          <w:color w:val="auto"/>
        </w:rPr>
      </w:pPr>
      <w:r>
        <w:rPr>
          <w:rFonts w:ascii="Arial" w:cs="Arial" w:eastAsia="Arial" w:hAnsi="Arial"/>
          <w:sz w:val="22"/>
          <w:szCs w:val="22"/>
          <w:color w:val="auto"/>
        </w:rPr>
        <w:t>Asesorar técnicamente a la entidad beneficiaria en aquellas cuestiones relacionadas con la ejecución de la subvención.</w:t>
      </w:r>
    </w:p>
    <w:p>
      <w:pPr>
        <w:spacing w:after="0" w:line="177" w:lineRule="exact"/>
        <w:rPr>
          <w:sz w:val="20"/>
          <w:szCs w:val="20"/>
          <w:color w:val="auto"/>
        </w:rPr>
      </w:pPr>
    </w:p>
    <w:p>
      <w:pPr>
        <w:spacing w:after="0"/>
        <w:rPr>
          <w:sz w:val="20"/>
          <w:szCs w:val="20"/>
          <w:color w:val="auto"/>
        </w:rPr>
      </w:pPr>
      <w:r>
        <w:rPr>
          <w:rFonts w:ascii="Arial" w:cs="Arial" w:eastAsia="Arial" w:hAnsi="Arial"/>
          <w:sz w:val="22"/>
          <w:szCs w:val="22"/>
          <w:color w:val="auto"/>
        </w:rPr>
        <w:t>SEXTA.- PLAZOS Y MODOS DE PAGO</w:t>
      </w:r>
    </w:p>
    <w:p>
      <w:pPr>
        <w:spacing w:after="0" w:line="253" w:lineRule="exact"/>
        <w:rPr>
          <w:sz w:val="20"/>
          <w:szCs w:val="20"/>
          <w:color w:val="auto"/>
        </w:rPr>
      </w:pPr>
    </w:p>
    <w:p>
      <w:pPr>
        <w:jc w:val="both"/>
        <w:spacing w:after="0" w:line="288" w:lineRule="auto"/>
        <w:rPr>
          <w:sz w:val="20"/>
          <w:szCs w:val="20"/>
          <w:color w:val="auto"/>
        </w:rPr>
      </w:pPr>
      <w:r>
        <w:rPr>
          <w:rFonts w:ascii="Arial" w:cs="Arial" w:eastAsia="Arial" w:hAnsi="Arial"/>
          <w:sz w:val="22"/>
          <w:szCs w:val="22"/>
          <w:color w:val="auto"/>
        </w:rPr>
        <w:t>El Excmo. Cabildo Insular de La Palma abonará, en un primer plazo, a La Asociación de Familiares de Enfermos de Alzheimer y otras demencias de La Palma (AFA La Palma), como entidad gestora del servicio de promoción de autonomía personal la cantidad de 130.800,00 €, en base al coste plaza/día para el año 2020.</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El coste plaza/día para el año 2020 será aquel que se fija en el Convenio entre este Cabildo de La Palma y la Administración Pública de la Comunidad Autónoma, al que se hace referencia en la parte expositiva. El coste total máximo será de 261.600,00 €.</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Todo ello teniendo en cuenta que el objeto de la subvención es sufragar el coste de la plaza ocupada (plaza adjudicada a una persona que tenga reconocida la situación de dependencia y determinados los cuidados sanitarios), siempre y cuando el 75% de las plazas convenidas sean ocupadas por personas declaradas en situación de dependencia, con derecho a un recurso para personas dependientes según normativa vigente.</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spacing w:after="0" w:line="280" w:lineRule="auto"/>
        <w:rPr>
          <w:sz w:val="20"/>
          <w:szCs w:val="20"/>
          <w:color w:val="auto"/>
        </w:rPr>
      </w:pPr>
      <w:r>
        <w:rPr>
          <w:rFonts w:ascii="Arial" w:cs="Arial" w:eastAsia="Arial" w:hAnsi="Arial"/>
          <w:sz w:val="22"/>
          <w:szCs w:val="22"/>
          <w:color w:val="auto"/>
        </w:rPr>
        <w:t>El abono se realizará con carácter anticipado quedando dicha medida justificada en virtud del artículo 34.4 de la Ley 38/2003, de 17 de noviembre, General de Subvenciones, conocida la circunstancia de que se trata de una subvención cuyo objeto es la gestión de las plazas autorizadas y de ámbito insular que pone a disposición de esta Corporación la entidad beneficiaria, para lo cual carece de medios económicos propios para su mantenimiento. En cualquier caso se podrá verificar en cualquier momento la documentación aportada por la entidad interesada, teniendo en cuenta las medidas adoptadas con el personal de este Excmo. Cabildo Insular de La Palma debido a la situación suscitada a raíz del Real Decreto 463/2020, de 14 de marzo, por el que se declara el estado de alarma para la gestión de la situación de crisis sanitaria ocasionada por el COVID-19.</w:t>
      </w:r>
    </w:p>
    <w:p>
      <w:pPr>
        <w:spacing w:after="0" w:line="200" w:lineRule="exact"/>
        <w:rPr>
          <w:sz w:val="20"/>
          <w:szCs w:val="20"/>
          <w:color w:val="auto"/>
        </w:rPr>
      </w:pPr>
    </w:p>
    <w:p>
      <w:pPr>
        <w:spacing w:after="0" w:line="230"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0" w:name="page11"/>
    <w:bookmarkEnd w:id="10"/>
    <w:p>
      <w:pPr>
        <w:jc w:val="both"/>
        <w:spacing w:after="0" w:line="281" w:lineRule="auto"/>
        <w:rPr>
          <w:sz w:val="20"/>
          <w:szCs w:val="20"/>
          <w:color w:val="auto"/>
        </w:rPr>
      </w:pPr>
      <w:r>
        <w:rPr>
          <w:rFonts w:ascii="Arial" w:cs="Arial" w:eastAsia="Arial" w:hAnsi="Arial"/>
          <w:sz w:val="22"/>
          <w:szCs w:val="22"/>
          <w:color w:val="auto"/>
        </w:rPr>
        <w:t>El abono se reconocerá y liquidará por parte de la Corporación Insular en varios plazos (entre dos y cuatro pagos en el año) una vez sea notificada esta Resolución de concesión. El importe del primer pago no será inferior al 30% ni superior al 85% de la cantidad total estipulada que se contempla en el párrafo primero. Todo ello teniendo en cuenta que el objeto de la Subvención es sufragar el coste de la plaza ocupada (plaza adjudicada a una persona que tenga reconocida la situación de dependencia y determinados los cuidados sanitarios), siempre y cuando el 75% de las plazas convenidas sean ocupadas por personas declaradas en situación de dependencia, con derecho a un recurso para personas dependientes según normativa vigente.</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El abono de las citadas cantidades se llevará a cabo con cargo a la aplicación presupuestaria 233.489.10 “SUBV ASOCIACION DE FAMILIARES DE ENFERMOS DE ALZ4HEIMER Y OTRAS DEMENCIAS DE LA PALMA (AFA LA PALMA) POR EL QUE SE INSTRUMENTALIZA LA SUBVENCION NOMINATIVA PARA EL SERVICIO DE PROMOCIÓN DE LA AUTONOMÍA PERSONAL” del Presupuesto General para el ejercicio 2020 de este Cabildo Insular.</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spacing w:after="0"/>
        <w:rPr>
          <w:sz w:val="20"/>
          <w:szCs w:val="20"/>
          <w:color w:val="auto"/>
        </w:rPr>
      </w:pPr>
      <w:r>
        <w:rPr>
          <w:rFonts w:ascii="Arial" w:cs="Arial" w:eastAsia="Arial" w:hAnsi="Arial"/>
          <w:sz w:val="22"/>
          <w:szCs w:val="22"/>
          <w:color w:val="auto"/>
        </w:rPr>
        <w:t>SÉPTIMA.- PARTICIPACIÓN DE LOS USUARIOS EN LA FINANCIACIÓN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La Administración General del Estado, la Administración de la Comunidad Autónoma de Canarias y el Excmo. Cabildo Insular de La Palma sustentarán parcialmente y en los términos expuestos el contenido económico de la presente Subvención, resultando también sustentado con la participación individual del usuario, sin perjuicio de lo dispuesto en la normativa estatal y territorial vigente en materia de dependencia en cada momento.</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spacing w:after="0"/>
        <w:rPr>
          <w:sz w:val="20"/>
          <w:szCs w:val="20"/>
          <w:color w:val="auto"/>
        </w:rPr>
      </w:pPr>
      <w:r>
        <w:rPr>
          <w:rFonts w:ascii="Arial" w:cs="Arial" w:eastAsia="Arial" w:hAnsi="Arial"/>
          <w:sz w:val="22"/>
          <w:szCs w:val="22"/>
          <w:color w:val="auto"/>
        </w:rPr>
        <w:t>OCTAVA.- GARANTÍA</w:t>
      </w:r>
    </w:p>
    <w:p>
      <w:pPr>
        <w:spacing w:after="0" w:line="253" w:lineRule="exact"/>
        <w:rPr>
          <w:sz w:val="20"/>
          <w:szCs w:val="20"/>
          <w:color w:val="auto"/>
        </w:rPr>
      </w:pPr>
    </w:p>
    <w:p>
      <w:pPr>
        <w:jc w:val="both"/>
        <w:spacing w:after="0" w:line="249" w:lineRule="auto"/>
        <w:rPr>
          <w:sz w:val="20"/>
          <w:szCs w:val="20"/>
          <w:color w:val="auto"/>
        </w:rPr>
      </w:pPr>
      <w:r>
        <w:rPr>
          <w:rFonts w:ascii="Arial" w:cs="Arial" w:eastAsia="Arial" w:hAnsi="Arial"/>
          <w:sz w:val="22"/>
          <w:szCs w:val="22"/>
          <w:color w:val="auto"/>
        </w:rPr>
        <w:t>Asimismo esta Corporación Insular exime a La Asociación de Familiares de Enfermos de Alzheimer y otras demencias de La Palma (AFA La Palma) de la presentación de garantías frente a este pago anticipado fundamentando dicha actuación en el artículo 42.1.a) del Real Decreto 887/2006, de 21 de julio, por el que se aprueba el Reglamento de la Ley 38/2003, de 17 de noviembre, General de Subvenciones.</w:t>
      </w:r>
    </w:p>
    <w:p>
      <w:pPr>
        <w:spacing w:after="0" w:line="206" w:lineRule="exact"/>
        <w:rPr>
          <w:sz w:val="20"/>
          <w:szCs w:val="20"/>
          <w:color w:val="auto"/>
        </w:rPr>
      </w:pPr>
    </w:p>
    <w:p>
      <w:pPr>
        <w:spacing w:after="0"/>
        <w:rPr>
          <w:sz w:val="20"/>
          <w:szCs w:val="20"/>
          <w:color w:val="auto"/>
        </w:rPr>
      </w:pPr>
      <w:r>
        <w:rPr>
          <w:rFonts w:ascii="Arial" w:cs="Arial" w:eastAsia="Arial" w:hAnsi="Arial"/>
          <w:sz w:val="22"/>
          <w:szCs w:val="22"/>
          <w:color w:val="auto"/>
        </w:rPr>
        <w:t>NOVENA.- COMPATIBILIDAD DE LA SUBVENCIÓN</w:t>
      </w:r>
    </w:p>
    <w:p>
      <w:pPr>
        <w:spacing w:after="0" w:line="253"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La subvención es compatible con cualesquiera otras subvenciones, ayudas, ingresos o recursos, procedentes de cualesquiera Administraciones o entes públicos o privados que, para el mismo objeto pueda obtener la beneficiaria de la presente subvención, manteniendo en cualquier la caso la obligación de comunicar según consta en la cláusula cuarta, punto sexto, de la presente Resolución de concesión.</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En el caso de que los ingresos obtenidos sean superiores al coste de la actividad subvencionada, procederá el reintegro del exceso obtenido sobre el coste de la actividad subvencionada, así como la exigencia del interés de demora correspondiente.</w:t>
      </w:r>
    </w:p>
    <w:p>
      <w:pPr>
        <w:spacing w:after="0" w:line="362"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1" w:name="page12"/>
    <w:bookmarkEnd w:id="11"/>
    <w:p>
      <w:pPr>
        <w:spacing w:after="0"/>
        <w:rPr>
          <w:sz w:val="20"/>
          <w:szCs w:val="20"/>
          <w:color w:val="auto"/>
        </w:rPr>
      </w:pPr>
      <w:r>
        <w:rPr>
          <w:rFonts w:ascii="Arial" w:cs="Arial" w:eastAsia="Arial" w:hAnsi="Arial"/>
          <w:sz w:val="22"/>
          <w:szCs w:val="22"/>
          <w:color w:val="auto"/>
        </w:rPr>
        <w:t>DÉCIMA.- GASTOS SUBVENCIONABLES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La financiación concedida irá destinada a sufragar los gastos de personal, de actividades y los gastos generales de mantenimiento del servicio que de manera indubitada respondan a la naturaleza del objeto de la presente subvención durante el año en curso y en todo caso se imputarán en los mismos términos que se han consignado en el plan de financiación presentado por el beneficiario.</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spacing w:after="0"/>
        <w:rPr>
          <w:sz w:val="20"/>
          <w:szCs w:val="20"/>
          <w:color w:val="auto"/>
        </w:rPr>
      </w:pPr>
      <w:r>
        <w:rPr>
          <w:rFonts w:ascii="Arial" w:cs="Arial" w:eastAsia="Arial" w:hAnsi="Arial"/>
          <w:sz w:val="22"/>
          <w:szCs w:val="22"/>
          <w:color w:val="auto"/>
        </w:rPr>
        <w:t>Los gastos generales del mantenimiento del servicio deberán reunir las siguientes características:</w:t>
      </w:r>
    </w:p>
    <w:p>
      <w:pPr>
        <w:spacing w:after="0" w:line="38" w:lineRule="exact"/>
        <w:rPr>
          <w:sz w:val="20"/>
          <w:szCs w:val="20"/>
          <w:color w:val="auto"/>
        </w:rPr>
      </w:pPr>
    </w:p>
    <w:p>
      <w:pPr>
        <w:spacing w:after="0"/>
        <w:rPr>
          <w:sz w:val="20"/>
          <w:szCs w:val="20"/>
          <w:color w:val="auto"/>
        </w:rPr>
      </w:pPr>
      <w:r>
        <w:rPr>
          <w:rFonts w:ascii="Arial" w:cs="Arial" w:eastAsia="Arial" w:hAnsi="Arial"/>
          <w:sz w:val="22"/>
          <w:szCs w:val="22"/>
          <w:color w:val="auto"/>
        </w:rPr>
        <w:t>ser bienes fungibles y no ser susceptibles de ser inventariables.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Los gastos subvencionables deberán realizarse durante el periodo de realización de la actividad subvencionada, es decir, la fecha de emisión de las facturas acreditativas del gasto realizado deberá estar comprendida entre el 1 de enero de 2020 y el 31 de diciembre de 2020.</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Los citados gastos deberán ser efectivamente pagados en el periodo comprendido entre la fecha de inicio del plazo de realización de la actividad subvencionada y la fecha de finalización del plazo para la justificación de la subvención.</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En el caso de que un gasto sea pagado mediante cheque, la fecha del cargo en la cuenta corriente del beneficiario del mismo deberá estar comprendida en el periodo al que se refiere el párrafo anterior.</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spacing w:after="0" w:line="288" w:lineRule="auto"/>
        <w:rPr>
          <w:sz w:val="20"/>
          <w:szCs w:val="20"/>
          <w:color w:val="auto"/>
        </w:rPr>
      </w:pPr>
      <w:r>
        <w:rPr>
          <w:rFonts w:ascii="Arial" w:cs="Arial" w:eastAsia="Arial" w:hAnsi="Arial"/>
          <w:sz w:val="22"/>
          <w:szCs w:val="22"/>
          <w:color w:val="auto"/>
        </w:rPr>
        <w:t>Los conceptos de gastos que integran el plan de financiación de la actuación objeto de subvención (gastos de personal, de actividades y de mantenimiento) podrán compensarse entre sí, a efectos de su justificación, con un límite del 10%, sin que en ningún caso dicha compensación conlleve una alteración del coste total solicitado.</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jc w:val="both"/>
        <w:spacing w:after="0" w:line="280" w:lineRule="auto"/>
        <w:rPr>
          <w:sz w:val="20"/>
          <w:szCs w:val="20"/>
          <w:color w:val="auto"/>
        </w:rPr>
      </w:pPr>
      <w:r>
        <w:rPr>
          <w:rFonts w:ascii="Arial" w:cs="Arial" w:eastAsia="Arial" w:hAnsi="Arial"/>
          <w:sz w:val="22"/>
          <w:szCs w:val="22"/>
          <w:color w:val="auto"/>
        </w:rPr>
        <w:t>En el caso del personal obligatorio previsto en el Decreto 67/2012, de 20 de julio, por el que se aprueba el Reglamento regulador de los centros y servicios que actúen en el ámbito de la promoción de la autonomía personal y la atención a personas en situación de dependencia en Canarias, no se considerará gasto subvencionable el coste de dicho personal en caso de que se encontrara en situación de incapacidad temporal y su plaza no fuera convenientemente sustituida, tanto si no se produce la sustitución, como si la misma se produce con personal que no cumple los requisitos previstos para el puesto por el citado Decreto 67/2012. Esta condición surtiría efecto, en el caso del director del servicio, a partir de los 2 meses de declaración de la incapacidad, y a partir de 15 días para el resto del personal obligatorio.</w:t>
      </w:r>
    </w:p>
    <w:p>
      <w:pPr>
        <w:spacing w:after="0" w:line="200" w:lineRule="exact"/>
        <w:rPr>
          <w:sz w:val="20"/>
          <w:szCs w:val="20"/>
          <w:color w:val="auto"/>
        </w:rPr>
      </w:pPr>
    </w:p>
    <w:p>
      <w:pPr>
        <w:spacing w:after="0" w:line="203"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805"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805" w:right="1126" w:bottom="0" w:gutter="0" w:footer="0" w:header="0"/>
          <w:type w:val="continuous"/>
        </w:sectPr>
      </w:pPr>
    </w:p>
    <w:bookmarkStart w:id="12" w:name="page13"/>
    <w:bookmarkEnd w:id="12"/>
    <w:p>
      <w:pPr>
        <w:jc w:val="both"/>
        <w:ind w:left="6"/>
        <w:spacing w:after="0" w:line="281" w:lineRule="auto"/>
        <w:rPr>
          <w:sz w:val="20"/>
          <w:szCs w:val="20"/>
          <w:color w:val="auto"/>
        </w:rPr>
      </w:pPr>
      <w:r>
        <w:rPr>
          <w:rFonts w:ascii="Arial" w:cs="Arial" w:eastAsia="Arial" w:hAnsi="Arial"/>
          <w:sz w:val="22"/>
          <w:szCs w:val="22"/>
          <w:color w:val="auto"/>
        </w:rPr>
        <w:t>En un contrato de arrendamiento financiero serán subvencionables los pagos abonados por el arrendatario al arrendador, con excepción de los intereses deudores, siempre y cuando el contrato de arrendamiento no recoja el compromiso expreso de ejercitar el derecho de opción de compra en tiempo y forma o alternativamente un plazo mínimo de duración de arrendamiento con el que pueda entenderse cubierta la vida útil del activo. No serán subvencionables otros costes ligados al contrato de arrendamiento financiero, específicamente el ejercicio de la opción de compra, el margen del arrendador, seguros, intereses de costes de refinanciación así como los impuestos indirectos recuperables.</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jc w:val="both"/>
        <w:ind w:left="6"/>
        <w:spacing w:after="0" w:line="312" w:lineRule="auto"/>
        <w:rPr>
          <w:sz w:val="20"/>
          <w:szCs w:val="20"/>
          <w:color w:val="auto"/>
        </w:rPr>
      </w:pPr>
      <w:r>
        <w:rPr>
          <w:rFonts w:ascii="Arial" w:cs="Arial" w:eastAsia="Arial" w:hAnsi="Arial"/>
          <w:sz w:val="22"/>
          <w:szCs w:val="22"/>
          <w:color w:val="auto"/>
        </w:rPr>
        <w:t>Serán subvencionables los gastos de auditoría generados por la elaboración del informe requerido en la cláusula decimosegunda.</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jc w:val="both"/>
        <w:ind w:left="6"/>
        <w:spacing w:after="0" w:line="280" w:lineRule="auto"/>
        <w:rPr>
          <w:sz w:val="20"/>
          <w:szCs w:val="20"/>
          <w:color w:val="auto"/>
        </w:rPr>
      </w:pPr>
      <w:r>
        <w:rPr>
          <w:rFonts w:ascii="Arial" w:cs="Arial" w:eastAsia="Arial" w:hAnsi="Arial"/>
          <w:sz w:val="22"/>
          <w:szCs w:val="22"/>
          <w:color w:val="auto"/>
        </w:rPr>
        <w:t>Serán también subvencionables los gastos financieros causados por el retraso en el pago de la subvención, cuando el origen de los mismos sean los intereses y otros gastos bancarios producidos por el uso de una póliza de crédito, anticipo bancario o préstamo, para hacer frente a los gastos subvencionables previstos en la presente Resolución de concesión y autorizados por el órgano concedente de acuerdo con el plan de financiación presentado por el beneficiario, debido a que el abono de la subvención se produzca con posterioridad al pago del gasto, y siempre que dicho gasto sea producido con referencia a un mes determinado dentro de la vigencia de la subvención, entre el 1 de enero de 2020 y el 31 de diciembre de 2020, que no se encuentre cubierto por alguno de los pagos fraccionados previstos en la cláusula sexta.</w:t>
      </w:r>
    </w:p>
    <w:p>
      <w:pPr>
        <w:spacing w:after="0" w:line="200" w:lineRule="exact"/>
        <w:rPr>
          <w:sz w:val="20"/>
          <w:szCs w:val="20"/>
          <w:color w:val="auto"/>
        </w:rPr>
      </w:pPr>
    </w:p>
    <w:p>
      <w:pPr>
        <w:spacing w:after="0" w:line="200" w:lineRule="exact"/>
        <w:rPr>
          <w:sz w:val="20"/>
          <w:szCs w:val="20"/>
          <w:color w:val="auto"/>
        </w:rPr>
      </w:pPr>
    </w:p>
    <w:p>
      <w:pPr>
        <w:spacing w:after="0" w:line="253" w:lineRule="exact"/>
        <w:rPr>
          <w:sz w:val="20"/>
          <w:szCs w:val="20"/>
          <w:color w:val="auto"/>
        </w:rPr>
      </w:pPr>
    </w:p>
    <w:p>
      <w:pPr>
        <w:jc w:val="both"/>
        <w:ind w:left="6"/>
        <w:spacing w:after="0" w:line="285" w:lineRule="auto"/>
        <w:rPr>
          <w:sz w:val="20"/>
          <w:szCs w:val="20"/>
          <w:color w:val="auto"/>
        </w:rPr>
      </w:pPr>
      <w:r>
        <w:rPr>
          <w:rFonts w:ascii="Arial" w:cs="Arial" w:eastAsia="Arial" w:hAnsi="Arial"/>
          <w:sz w:val="22"/>
          <w:szCs w:val="22"/>
          <w:color w:val="auto"/>
        </w:rPr>
        <w:t>En todo caso, es requisito que entre el gasto realizado por el beneficiario y la actividad objeto de la subvención, exista una relación que posibilite aseverar sin ningún género de duda que el gasto se ha contraído en el marco de las actuaciones financiadas con fondos públicos, es decir, el gasto ha de estar en relación con el cumplimiento de la finalidad o la realización de la actividad subvencionada.</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ind w:left="6"/>
        <w:spacing w:after="0" w:line="283" w:lineRule="auto"/>
        <w:rPr>
          <w:sz w:val="20"/>
          <w:szCs w:val="20"/>
          <w:color w:val="auto"/>
        </w:rPr>
      </w:pPr>
      <w:r>
        <w:rPr>
          <w:rFonts w:ascii="Arial" w:cs="Arial" w:eastAsia="Arial" w:hAnsi="Arial"/>
          <w:sz w:val="22"/>
          <w:szCs w:val="22"/>
          <w:color w:val="auto"/>
        </w:rPr>
        <w:t>No se considerará como gasto subvencionable aquellos gastos que se realicen con personas o entidades vinculadas con el beneficiario. Se considerará que existe vinculación con aquellas personas físicas o jurídicas o agrupaciones sin personalidad en las que concurran las circunstancias previstas en el artículo 68.2 del Real Decreto 887/2006, de 21 de julio, por el que se aprueba el Reglamento de La Ley General de Subvenciones y que se relacionan a continuación:</w:t>
      </w: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ind w:left="6" w:hanging="6"/>
        <w:spacing w:after="0" w:line="312" w:lineRule="auto"/>
        <w:tabs>
          <w:tab w:leader="none" w:pos="309" w:val="left"/>
        </w:tabs>
        <w:numPr>
          <w:ilvl w:val="0"/>
          <w:numId w:val="6"/>
        </w:numPr>
        <w:rPr>
          <w:rFonts w:ascii="Arial" w:cs="Arial" w:eastAsia="Arial" w:hAnsi="Arial"/>
          <w:sz w:val="22"/>
          <w:szCs w:val="22"/>
          <w:color w:val="auto"/>
        </w:rPr>
      </w:pPr>
      <w:r>
        <w:rPr>
          <w:rFonts w:ascii="Arial" w:cs="Arial" w:eastAsia="Arial" w:hAnsi="Arial"/>
          <w:sz w:val="22"/>
          <w:szCs w:val="22"/>
          <w:color w:val="auto"/>
        </w:rPr>
        <w:t>Personas físicas unidas por relación conyugal o personas ligadas con análoga relación de afectividad, parentesco de consanguinidad hasta el cuarto grado o de afinidad hasta el segundo.</w:t>
      </w:r>
    </w:p>
    <w:p>
      <w:pPr>
        <w:spacing w:after="0" w:line="44" w:lineRule="exact"/>
        <w:rPr>
          <w:rFonts w:ascii="Arial" w:cs="Arial" w:eastAsia="Arial" w:hAnsi="Arial"/>
          <w:sz w:val="22"/>
          <w:szCs w:val="22"/>
          <w:color w:val="auto"/>
        </w:rPr>
      </w:pPr>
    </w:p>
    <w:p>
      <w:pPr>
        <w:ind w:left="6" w:hanging="6"/>
        <w:spacing w:after="0" w:line="312" w:lineRule="auto"/>
        <w:tabs>
          <w:tab w:leader="none" w:pos="307" w:val="left"/>
        </w:tabs>
        <w:numPr>
          <w:ilvl w:val="0"/>
          <w:numId w:val="6"/>
        </w:numPr>
        <w:rPr>
          <w:rFonts w:ascii="Arial" w:cs="Arial" w:eastAsia="Arial" w:hAnsi="Arial"/>
          <w:sz w:val="22"/>
          <w:szCs w:val="22"/>
          <w:color w:val="auto"/>
        </w:rPr>
      </w:pPr>
      <w:r>
        <w:rPr>
          <w:rFonts w:ascii="Arial" w:cs="Arial" w:eastAsia="Arial" w:hAnsi="Arial"/>
          <w:sz w:val="22"/>
          <w:szCs w:val="22"/>
          <w:color w:val="auto"/>
        </w:rPr>
        <w:t>Las personas físicas y jurídicas que tengan una relación laboral retribuida mediante pagos periódicos.</w:t>
      </w:r>
    </w:p>
    <w:p>
      <w:pPr>
        <w:spacing w:after="0" w:line="225"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6"/>
          </w:cols>
          <w:pgMar w:left="1134" w:top="1043"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1043" w:right="1126" w:bottom="0" w:gutter="0" w:footer="0" w:header="0"/>
          <w:type w:val="continuous"/>
        </w:sectPr>
      </w:pPr>
    </w:p>
    <w:bookmarkStart w:id="13" w:name="page14"/>
    <w:bookmarkEnd w:id="13"/>
    <w:p>
      <w:pPr>
        <w:jc w:val="both"/>
        <w:ind w:left="6" w:hanging="6"/>
        <w:spacing w:after="0" w:line="294" w:lineRule="auto"/>
        <w:tabs>
          <w:tab w:leader="none" w:pos="257" w:val="left"/>
        </w:tabs>
        <w:numPr>
          <w:ilvl w:val="0"/>
          <w:numId w:val="7"/>
        </w:numPr>
        <w:rPr>
          <w:rFonts w:ascii="Arial" w:cs="Arial" w:eastAsia="Arial" w:hAnsi="Arial"/>
          <w:sz w:val="22"/>
          <w:szCs w:val="22"/>
          <w:color w:val="auto"/>
        </w:rPr>
      </w:pPr>
      <w:r>
        <w:rPr>
          <w:rFonts w:ascii="Arial" w:cs="Arial" w:eastAsia="Arial" w:hAnsi="Arial"/>
          <w:sz w:val="22"/>
          <w:szCs w:val="22"/>
          <w:color w:val="auto"/>
        </w:rPr>
        <w:t>Ser miembros asociados del beneficiario a que se refiere el apartado 2 y miembros o partícipes de las entidades sin personalidad jurídica a que se refiere el apartado 3 del artículo 11 de la Ley General de Subvenciones.</w:t>
      </w:r>
    </w:p>
    <w:p>
      <w:pPr>
        <w:spacing w:after="0" w:line="63" w:lineRule="exact"/>
        <w:rPr>
          <w:rFonts w:ascii="Arial" w:cs="Arial" w:eastAsia="Arial" w:hAnsi="Arial"/>
          <w:sz w:val="22"/>
          <w:szCs w:val="22"/>
          <w:color w:val="auto"/>
        </w:rPr>
      </w:pPr>
    </w:p>
    <w:p>
      <w:pPr>
        <w:jc w:val="both"/>
        <w:ind w:left="6" w:hanging="6"/>
        <w:spacing w:after="0" w:line="294" w:lineRule="auto"/>
        <w:tabs>
          <w:tab w:leader="none" w:pos="308" w:val="left"/>
        </w:tabs>
        <w:numPr>
          <w:ilvl w:val="0"/>
          <w:numId w:val="7"/>
        </w:numPr>
        <w:rPr>
          <w:rFonts w:ascii="Arial" w:cs="Arial" w:eastAsia="Arial" w:hAnsi="Arial"/>
          <w:sz w:val="22"/>
          <w:szCs w:val="22"/>
          <w:color w:val="auto"/>
        </w:rPr>
      </w:pPr>
      <w:r>
        <w:rPr>
          <w:rFonts w:ascii="Arial" w:cs="Arial" w:eastAsia="Arial" w:hAnsi="Arial"/>
          <w:sz w:val="22"/>
          <w:szCs w:val="22"/>
          <w:color w:val="auto"/>
        </w:rPr>
        <w:t>Una sociedad y sus socios mayoritarios o sus consejeros o administradores, así como los cónyuges o personas ligadas con análoga relación de afectividad y familiares hasta el cuarto grado de consanguinidad o de afinidad hasta el segundo.</w:t>
      </w:r>
    </w:p>
    <w:p>
      <w:pPr>
        <w:spacing w:after="0" w:line="63" w:lineRule="exact"/>
        <w:rPr>
          <w:rFonts w:ascii="Arial" w:cs="Arial" w:eastAsia="Arial" w:hAnsi="Arial"/>
          <w:sz w:val="22"/>
          <w:szCs w:val="22"/>
          <w:color w:val="auto"/>
        </w:rPr>
      </w:pPr>
    </w:p>
    <w:p>
      <w:pPr>
        <w:ind w:left="6" w:hanging="6"/>
        <w:spacing w:after="0" w:line="312" w:lineRule="auto"/>
        <w:tabs>
          <w:tab w:leader="none" w:pos="272" w:val="left"/>
        </w:tabs>
        <w:numPr>
          <w:ilvl w:val="0"/>
          <w:numId w:val="7"/>
        </w:numPr>
        <w:rPr>
          <w:rFonts w:ascii="Arial" w:cs="Arial" w:eastAsia="Arial" w:hAnsi="Arial"/>
          <w:sz w:val="22"/>
          <w:szCs w:val="22"/>
          <w:color w:val="auto"/>
        </w:rPr>
      </w:pPr>
      <w:r>
        <w:rPr>
          <w:rFonts w:ascii="Arial" w:cs="Arial" w:eastAsia="Arial" w:hAnsi="Arial"/>
          <w:sz w:val="22"/>
          <w:szCs w:val="22"/>
          <w:color w:val="auto"/>
        </w:rPr>
        <w:t>Las sociedades que, de acuerdo con el artículo 4 de la Ley 24/1988, de 28 de julio, reguladora del Mercado de Valores, reúnan las circunstancias requeridas para formar parte del mismo grupo.</w:t>
      </w:r>
    </w:p>
    <w:p>
      <w:pPr>
        <w:spacing w:after="0" w:line="44" w:lineRule="exact"/>
        <w:rPr>
          <w:rFonts w:ascii="Arial" w:cs="Arial" w:eastAsia="Arial" w:hAnsi="Arial"/>
          <w:sz w:val="22"/>
          <w:szCs w:val="22"/>
          <w:color w:val="auto"/>
        </w:rPr>
      </w:pPr>
    </w:p>
    <w:p>
      <w:pPr>
        <w:jc w:val="both"/>
        <w:ind w:left="6" w:hanging="6"/>
        <w:spacing w:after="0" w:line="288" w:lineRule="auto"/>
        <w:tabs>
          <w:tab w:leader="none" w:pos="216" w:val="left"/>
        </w:tabs>
        <w:numPr>
          <w:ilvl w:val="0"/>
          <w:numId w:val="7"/>
        </w:numPr>
        <w:rPr>
          <w:rFonts w:ascii="Arial" w:cs="Arial" w:eastAsia="Arial" w:hAnsi="Arial"/>
          <w:sz w:val="22"/>
          <w:szCs w:val="22"/>
          <w:color w:val="auto"/>
        </w:rPr>
      </w:pPr>
      <w:r>
        <w:rPr>
          <w:rFonts w:ascii="Arial" w:cs="Arial" w:eastAsia="Arial" w:hAnsi="Arial"/>
          <w:sz w:val="22"/>
          <w:szCs w:val="22"/>
          <w:color w:val="auto"/>
        </w:rPr>
        <w:t>Las personas jurídicas o agrupaciones sin personalidad y sus representantes legales, patronos o quienes ejerzan su administración, así como los cónyuges o personas ligadas con análoga relación de afectividad y familiares hasta el cuarto grado de consanguinidad o de afinidad hasta el segundo.</w:t>
      </w:r>
    </w:p>
    <w:p>
      <w:pPr>
        <w:spacing w:after="0" w:line="69" w:lineRule="exact"/>
        <w:rPr>
          <w:rFonts w:ascii="Arial" w:cs="Arial" w:eastAsia="Arial" w:hAnsi="Arial"/>
          <w:sz w:val="22"/>
          <w:szCs w:val="22"/>
          <w:color w:val="auto"/>
        </w:rPr>
      </w:pPr>
    </w:p>
    <w:p>
      <w:pPr>
        <w:jc w:val="both"/>
        <w:ind w:left="6" w:hanging="6"/>
        <w:spacing w:after="0" w:line="288" w:lineRule="auto"/>
        <w:tabs>
          <w:tab w:leader="none" w:pos="314" w:val="left"/>
        </w:tabs>
        <w:numPr>
          <w:ilvl w:val="0"/>
          <w:numId w:val="7"/>
        </w:numPr>
        <w:rPr>
          <w:rFonts w:ascii="Arial" w:cs="Arial" w:eastAsia="Arial" w:hAnsi="Arial"/>
          <w:sz w:val="22"/>
          <w:szCs w:val="22"/>
          <w:color w:val="auto"/>
        </w:rPr>
      </w:pPr>
      <w:r>
        <w:rPr>
          <w:rFonts w:ascii="Arial" w:cs="Arial" w:eastAsia="Arial" w:hAnsi="Arial"/>
          <w:sz w:val="22"/>
          <w:szCs w:val="22"/>
          <w:color w:val="auto"/>
        </w:rPr>
        <w:t>Las personas jurídicas o agrupaciones sin personalidad y las personas físicas, jurídicas o agrupaciones sin personalidad que conforme a normas legales, estatutarias o acuerdos contractuales tengan derecho a participar en más de un 50 por ciento en el beneficio de las primeras.</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ind w:left="6"/>
        <w:spacing w:after="0"/>
        <w:rPr>
          <w:sz w:val="20"/>
          <w:szCs w:val="20"/>
          <w:color w:val="auto"/>
        </w:rPr>
      </w:pPr>
      <w:r>
        <w:rPr>
          <w:rFonts w:ascii="Arial" w:cs="Arial" w:eastAsia="Arial" w:hAnsi="Arial"/>
          <w:sz w:val="22"/>
          <w:szCs w:val="22"/>
          <w:color w:val="auto"/>
        </w:rPr>
        <w:t>DECIMOPRIMERA.- SUBCONTRATACIÓN</w:t>
      </w:r>
    </w:p>
    <w:p>
      <w:pPr>
        <w:spacing w:after="0" w:line="253" w:lineRule="exact"/>
        <w:rPr>
          <w:sz w:val="20"/>
          <w:szCs w:val="20"/>
          <w:color w:val="auto"/>
        </w:rPr>
      </w:pPr>
    </w:p>
    <w:p>
      <w:pPr>
        <w:jc w:val="both"/>
        <w:ind w:left="6"/>
        <w:spacing w:after="0" w:line="247" w:lineRule="auto"/>
        <w:rPr>
          <w:sz w:val="20"/>
          <w:szCs w:val="20"/>
          <w:color w:val="auto"/>
        </w:rPr>
      </w:pPr>
      <w:r>
        <w:rPr>
          <w:rFonts w:ascii="Arial" w:cs="Arial" w:eastAsia="Arial" w:hAnsi="Arial"/>
          <w:sz w:val="22"/>
          <w:szCs w:val="22"/>
          <w:color w:val="auto"/>
        </w:rPr>
        <w:t>Según lo establecido en el art. 29 de la Ley 38/2003, de 17 de noviembre, General de Subvenciones, se prevé que el beneficiario pueda subcontratar con terceros hasta el 100% de la actividad subvencionada. Se entiende que un beneficiario subcontrata cuando concierta con terceros la ejecución total o parcial de la actividad que constituye el objeto de la subvención. Queda fuera de este concepto la contratación de aquellos gastos en que tenga que incurrir el beneficiario para la realización por sí mismo de la actividad subvencionada.</w:t>
      </w:r>
    </w:p>
    <w:p>
      <w:pPr>
        <w:spacing w:after="0" w:line="200" w:lineRule="exact"/>
        <w:rPr>
          <w:sz w:val="20"/>
          <w:szCs w:val="20"/>
          <w:color w:val="auto"/>
        </w:rPr>
      </w:pPr>
    </w:p>
    <w:p>
      <w:pPr>
        <w:spacing w:after="0" w:line="209" w:lineRule="exact"/>
        <w:rPr>
          <w:sz w:val="20"/>
          <w:szCs w:val="20"/>
          <w:color w:val="auto"/>
        </w:rPr>
      </w:pPr>
    </w:p>
    <w:p>
      <w:pPr>
        <w:jc w:val="both"/>
        <w:ind w:left="6"/>
        <w:spacing w:after="0" w:line="258" w:lineRule="auto"/>
        <w:rPr>
          <w:sz w:val="20"/>
          <w:szCs w:val="20"/>
          <w:color w:val="auto"/>
        </w:rPr>
      </w:pPr>
      <w:r>
        <w:rPr>
          <w:rFonts w:ascii="Arial" w:cs="Arial" w:eastAsia="Arial" w:hAnsi="Arial"/>
          <w:sz w:val="22"/>
          <w:szCs w:val="22"/>
          <w:color w:val="auto"/>
        </w:rPr>
        <w:t>Cuando la actividad concertada con terceros exceda del 20 por ciento del importe de la subvención y dicho importe sea superior a 60.000 euros, la subcontratación estará sometida al cumplimiento de los siguientes requisitos:</w:t>
      </w:r>
    </w:p>
    <w:p>
      <w:pPr>
        <w:spacing w:after="0" w:line="200" w:lineRule="exact"/>
        <w:rPr>
          <w:sz w:val="20"/>
          <w:szCs w:val="20"/>
          <w:color w:val="auto"/>
        </w:rPr>
      </w:pPr>
    </w:p>
    <w:p>
      <w:pPr>
        <w:spacing w:after="0" w:line="396" w:lineRule="exact"/>
        <w:rPr>
          <w:sz w:val="20"/>
          <w:szCs w:val="20"/>
          <w:color w:val="auto"/>
        </w:rPr>
      </w:pPr>
    </w:p>
    <w:p>
      <w:pPr>
        <w:ind w:left="606" w:hanging="249"/>
        <w:spacing w:after="0"/>
        <w:tabs>
          <w:tab w:leader="none" w:pos="606" w:val="left"/>
        </w:tabs>
        <w:numPr>
          <w:ilvl w:val="0"/>
          <w:numId w:val="8"/>
        </w:numPr>
        <w:rPr>
          <w:rFonts w:ascii="Arial" w:cs="Arial" w:eastAsia="Arial" w:hAnsi="Arial"/>
          <w:sz w:val="22"/>
          <w:szCs w:val="22"/>
          <w:color w:val="auto"/>
        </w:rPr>
      </w:pPr>
      <w:r>
        <w:rPr>
          <w:rFonts w:ascii="Arial" w:cs="Arial" w:eastAsia="Arial" w:hAnsi="Arial"/>
          <w:sz w:val="22"/>
          <w:szCs w:val="22"/>
          <w:color w:val="auto"/>
        </w:rPr>
        <w:t>Que el contrato se celebre por escrito.</w:t>
      </w:r>
    </w:p>
    <w:p>
      <w:pPr>
        <w:spacing w:after="0" w:line="200" w:lineRule="exact"/>
        <w:rPr>
          <w:rFonts w:ascii="Arial" w:cs="Arial" w:eastAsia="Arial" w:hAnsi="Arial"/>
          <w:sz w:val="22"/>
          <w:szCs w:val="22"/>
          <w:color w:val="auto"/>
        </w:rPr>
      </w:pPr>
    </w:p>
    <w:p>
      <w:pPr>
        <w:ind w:left="366" w:hanging="9"/>
        <w:spacing w:after="0" w:line="276" w:lineRule="auto"/>
        <w:tabs>
          <w:tab w:leader="none" w:pos="665" w:val="left"/>
        </w:tabs>
        <w:numPr>
          <w:ilvl w:val="0"/>
          <w:numId w:val="8"/>
        </w:numPr>
        <w:rPr>
          <w:rFonts w:ascii="Arial" w:cs="Arial" w:eastAsia="Arial" w:hAnsi="Arial"/>
          <w:sz w:val="22"/>
          <w:szCs w:val="22"/>
          <w:color w:val="auto"/>
        </w:rPr>
      </w:pPr>
      <w:r>
        <w:rPr>
          <w:rFonts w:ascii="Arial" w:cs="Arial" w:eastAsia="Arial" w:hAnsi="Arial"/>
          <w:sz w:val="22"/>
          <w:szCs w:val="22"/>
          <w:color w:val="auto"/>
        </w:rPr>
        <w:t>Que la celebración del mismo se autorice previamente por la entidad concedente de la subvención en la forma que se determine en las bases reguladoras.</w:t>
      </w:r>
    </w:p>
    <w:p>
      <w:pPr>
        <w:spacing w:after="0" w:line="377" w:lineRule="exact"/>
        <w:rPr>
          <w:sz w:val="20"/>
          <w:szCs w:val="20"/>
          <w:color w:val="auto"/>
        </w:rPr>
      </w:pPr>
    </w:p>
    <w:p>
      <w:pPr>
        <w:jc w:val="both"/>
        <w:ind w:left="6"/>
        <w:spacing w:after="0" w:line="276" w:lineRule="auto"/>
        <w:rPr>
          <w:sz w:val="20"/>
          <w:szCs w:val="20"/>
          <w:color w:val="auto"/>
        </w:rPr>
      </w:pPr>
      <w:r>
        <w:rPr>
          <w:rFonts w:ascii="Arial" w:cs="Arial" w:eastAsia="Arial" w:hAnsi="Arial"/>
          <w:sz w:val="22"/>
          <w:szCs w:val="22"/>
          <w:color w:val="auto"/>
        </w:rPr>
        <w:t>Los contratistas quedarán obligados sólo ante el beneficiario, que asumirá la total responsabilidad de la ejecución de la actividad subvencionada frente a la Administración.</w:t>
      </w:r>
    </w:p>
    <w:p>
      <w:pPr>
        <w:spacing w:after="0" w:line="177" w:lineRule="exact"/>
        <w:rPr>
          <w:sz w:val="20"/>
          <w:szCs w:val="20"/>
          <w:color w:val="auto"/>
        </w:rPr>
      </w:pPr>
    </w:p>
    <w:p>
      <w:pPr>
        <w:jc w:val="both"/>
        <w:ind w:left="6"/>
        <w:spacing w:after="0" w:line="246" w:lineRule="auto"/>
        <w:rPr>
          <w:sz w:val="20"/>
          <w:szCs w:val="20"/>
          <w:color w:val="auto"/>
        </w:rPr>
      </w:pPr>
      <w:r>
        <w:rPr>
          <w:rFonts w:ascii="Arial" w:cs="Arial" w:eastAsia="Arial" w:hAnsi="Arial"/>
          <w:sz w:val="22"/>
          <w:szCs w:val="22"/>
          <w:color w:val="auto"/>
        </w:rPr>
        <w:t>La Asociación de Familiares de Enfermos de Alzheimer y otras demencias de La Palma (AFA La Palma), en su calidad de beneficiaria, será responsable de que en la ejecución de la actividad subvencionada concertada con terceros se respeten los límites que se establezcan en la normativa reguladora de la subvención en cuanto a la naturaleza y cuantía de gastos subvencionables, y los contratistas estarán sujetos al deber de colaboración previsto en el artículo 46 de la Ley 38/2003, de 17 de noviembre, General de Subvenciones, para permitir la adecuada verificación del cumplimiento de dichos límites.</w:t>
      </w:r>
    </w:p>
    <w:p>
      <w:pPr>
        <w:spacing w:after="0" w:line="200" w:lineRule="exact"/>
        <w:rPr>
          <w:sz w:val="20"/>
          <w:szCs w:val="20"/>
          <w:color w:val="auto"/>
        </w:rPr>
      </w:pPr>
    </w:p>
    <w:p>
      <w:pPr>
        <w:spacing w:after="0" w:line="358" w:lineRule="exact"/>
        <w:rPr>
          <w:sz w:val="20"/>
          <w:szCs w:val="20"/>
          <w:color w:val="auto"/>
        </w:rPr>
      </w:pPr>
    </w:p>
    <w:p>
      <w:pPr>
        <w:ind w:left="8106"/>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6"/>
          </w:cols>
          <w:pgMar w:left="1134"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6"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-273050</wp:posOffset>
            </wp:positionH>
            <wp:positionV relativeFrom="paragraph">
              <wp:posOffset>-374015</wp:posOffset>
            </wp:positionV>
            <wp:extent cx="6577965" cy="36322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6"/>
          </w:cols>
          <w:pgMar w:left="1134" w:top="552" w:right="1126" w:bottom="0" w:gutter="0" w:footer="0" w:header="0"/>
          <w:type w:val="continuous"/>
        </w:sectPr>
      </w:pPr>
    </w:p>
    <w:bookmarkStart w:id="14" w:name="page15"/>
    <w:bookmarkEnd w:id="14"/>
    <w:p>
      <w:pPr>
        <w:jc w:val="both"/>
        <w:spacing w:after="0" w:line="247" w:lineRule="auto"/>
        <w:rPr>
          <w:sz w:val="20"/>
          <w:szCs w:val="20"/>
          <w:color w:val="auto"/>
        </w:rPr>
      </w:pPr>
      <w:r>
        <w:rPr>
          <w:rFonts w:ascii="Arial" w:cs="Arial" w:eastAsia="Arial" w:hAnsi="Arial"/>
          <w:sz w:val="22"/>
          <w:szCs w:val="22"/>
          <w:color w:val="auto"/>
        </w:rPr>
        <w:t>En particular, la entidad subcontratada cumplirá las ratios establecidas en el Decreto 67/2012 de 20 de julio, por el que se aprueba el Reglamento Regulador de los centros y servicio que actúen en el ámbito de la promoción de la autonomía personal y la atención a personas en situación de dependencia en Canarias, sobre el perfil, cualificación y experiencia del personal contratado para la ejecución de la actividad subvencionada, en las mismas condiciones exigidas para el beneficiario.</w:t>
      </w:r>
    </w:p>
    <w:p>
      <w:pPr>
        <w:spacing w:after="0" w:line="209" w:lineRule="exact"/>
        <w:rPr>
          <w:sz w:val="20"/>
          <w:szCs w:val="20"/>
          <w:color w:val="auto"/>
        </w:rPr>
      </w:pPr>
    </w:p>
    <w:p>
      <w:pPr>
        <w:jc w:val="both"/>
        <w:spacing w:after="0" w:line="246" w:lineRule="auto"/>
        <w:rPr>
          <w:sz w:val="20"/>
          <w:szCs w:val="20"/>
          <w:color w:val="auto"/>
        </w:rPr>
      </w:pPr>
      <w:r>
        <w:rPr>
          <w:rFonts w:ascii="Arial" w:cs="Arial" w:eastAsia="Arial" w:hAnsi="Arial"/>
          <w:sz w:val="22"/>
          <w:szCs w:val="22"/>
          <w:color w:val="auto"/>
        </w:rPr>
        <w:t>La Asociación de Familiares de Enfermos de Alzheimer y otras demencias de La Palma (AFA La Palma), previamente a la subcontratación, deberá solicitar al órgano concedente de la subvención, autorización para la misma, indicando la actividad a subcontratar, porcentaje de la misma que se va a subcontratar, entidad con la que se va a subcontratar, recursos humanos y materiales con los que cuenta el subcontratista para la ejecución de la actividad subvencionada (a los efectos de comprobar que cumplan los ratios que se exigen al beneficiario), el contrato, en su caso u otros datos que se considerasen necesarios por el beneficiario.</w:t>
      </w:r>
    </w:p>
    <w:p>
      <w:pPr>
        <w:spacing w:after="0" w:line="209" w:lineRule="exact"/>
        <w:rPr>
          <w:sz w:val="20"/>
          <w:szCs w:val="20"/>
          <w:color w:val="auto"/>
        </w:rPr>
      </w:pPr>
    </w:p>
    <w:p>
      <w:pPr>
        <w:jc w:val="both"/>
        <w:spacing w:after="0" w:line="258" w:lineRule="auto"/>
        <w:rPr>
          <w:sz w:val="20"/>
          <w:szCs w:val="20"/>
          <w:color w:val="auto"/>
        </w:rPr>
      </w:pPr>
      <w:r>
        <w:rPr>
          <w:rFonts w:ascii="Arial" w:cs="Arial" w:eastAsia="Arial" w:hAnsi="Arial"/>
          <w:sz w:val="22"/>
          <w:szCs w:val="22"/>
          <w:color w:val="auto"/>
        </w:rPr>
        <w:t>El beneficiario presentará certificado que acredite que no se ha contratado o no se va a contratar la ejecución total o parcial de la actividad subvencionada con las personas o entidades a las que se refiere el artículo 29.7 de la Ley 38/2003, de 17 de noviembre, General de Subvenciones:</w:t>
      </w:r>
    </w:p>
    <w:p>
      <w:pPr>
        <w:spacing w:after="0" w:line="196" w:lineRule="exact"/>
        <w:rPr>
          <w:sz w:val="20"/>
          <w:szCs w:val="20"/>
          <w:color w:val="auto"/>
        </w:rPr>
      </w:pPr>
    </w:p>
    <w:p>
      <w:pPr>
        <w:ind w:left="280"/>
        <w:spacing w:after="0" w:line="276" w:lineRule="auto"/>
        <w:rPr>
          <w:sz w:val="20"/>
          <w:szCs w:val="20"/>
          <w:color w:val="auto"/>
        </w:rPr>
      </w:pPr>
      <w:r>
        <w:rPr>
          <w:rFonts w:ascii="Arial" w:cs="Arial" w:eastAsia="Arial" w:hAnsi="Arial"/>
          <w:sz w:val="22"/>
          <w:szCs w:val="22"/>
          <w:color w:val="auto"/>
        </w:rPr>
        <w:t>En ningún caso podrá concertarse por el beneficiario la ejecución total o parcial de las actividades subvencionadas con:</w:t>
      </w:r>
    </w:p>
    <w:p>
      <w:pPr>
        <w:spacing w:after="0" w:line="177" w:lineRule="exact"/>
        <w:rPr>
          <w:sz w:val="20"/>
          <w:szCs w:val="20"/>
          <w:color w:val="auto"/>
        </w:rPr>
      </w:pPr>
    </w:p>
    <w:p>
      <w:pPr>
        <w:ind w:left="820" w:hanging="259"/>
        <w:spacing w:after="0"/>
        <w:tabs>
          <w:tab w:leader="none" w:pos="820" w:val="left"/>
        </w:tabs>
        <w:numPr>
          <w:ilvl w:val="0"/>
          <w:numId w:val="9"/>
        </w:numPr>
        <w:rPr>
          <w:rFonts w:ascii="Arial" w:cs="Arial" w:eastAsia="Arial" w:hAnsi="Arial"/>
          <w:sz w:val="22"/>
          <w:szCs w:val="22"/>
          <w:color w:val="auto"/>
        </w:rPr>
      </w:pPr>
      <w:r>
        <w:rPr>
          <w:rFonts w:ascii="Arial" w:cs="Arial" w:eastAsia="Arial" w:hAnsi="Arial"/>
          <w:sz w:val="22"/>
          <w:szCs w:val="22"/>
          <w:color w:val="auto"/>
        </w:rPr>
        <w:t>Personas o entidades incursas en alguna de las prohibiciones del artículo 13 de esta ley.</w:t>
      </w:r>
    </w:p>
    <w:p>
      <w:pPr>
        <w:spacing w:after="0" w:line="22" w:lineRule="exact"/>
        <w:rPr>
          <w:rFonts w:ascii="Arial" w:cs="Arial" w:eastAsia="Arial" w:hAnsi="Arial"/>
          <w:sz w:val="22"/>
          <w:szCs w:val="22"/>
          <w:color w:val="auto"/>
        </w:rPr>
      </w:pPr>
    </w:p>
    <w:p>
      <w:pPr>
        <w:ind w:left="560" w:firstLine="1"/>
        <w:spacing w:after="0"/>
        <w:tabs>
          <w:tab w:leader="none" w:pos="840" w:val="left"/>
        </w:tabs>
        <w:numPr>
          <w:ilvl w:val="0"/>
          <w:numId w:val="9"/>
        </w:numPr>
        <w:rPr>
          <w:rFonts w:ascii="Arial" w:cs="Arial" w:eastAsia="Arial" w:hAnsi="Arial"/>
          <w:sz w:val="22"/>
          <w:szCs w:val="22"/>
          <w:color w:val="auto"/>
        </w:rPr>
      </w:pPr>
      <w:r>
        <w:rPr>
          <w:rFonts w:ascii="Arial" w:cs="Arial" w:eastAsia="Arial" w:hAnsi="Arial"/>
          <w:sz w:val="22"/>
          <w:szCs w:val="22"/>
          <w:color w:val="auto"/>
        </w:rPr>
        <w:t>Personas o entidades que hayan percibido otras subvenciones para la realización de la actividad objeto de contratación.</w:t>
      </w:r>
    </w:p>
    <w:p>
      <w:pPr>
        <w:jc w:val="both"/>
        <w:ind w:left="560" w:firstLine="1"/>
        <w:spacing w:after="0"/>
        <w:tabs>
          <w:tab w:leader="none" w:pos="821" w:val="left"/>
        </w:tabs>
        <w:numPr>
          <w:ilvl w:val="0"/>
          <w:numId w:val="9"/>
        </w:numPr>
        <w:rPr>
          <w:rFonts w:ascii="Arial" w:cs="Arial" w:eastAsia="Arial" w:hAnsi="Arial"/>
          <w:sz w:val="22"/>
          <w:szCs w:val="22"/>
          <w:color w:val="auto"/>
        </w:rPr>
      </w:pPr>
      <w:r>
        <w:rPr>
          <w:rFonts w:ascii="Arial" w:cs="Arial" w:eastAsia="Arial" w:hAnsi="Arial"/>
          <w:sz w:val="22"/>
          <w:szCs w:val="22"/>
          <w:color w:val="auto"/>
        </w:rPr>
        <w:t>Intermediarios o asesores en los que los pagos se definan como un porcentaje de coste total de la operación, a menos que dicho pago esté justificado con referencia al valor de mercado del trabajo realizado o los servicios prestados.</w:t>
      </w:r>
    </w:p>
    <w:p>
      <w:pPr>
        <w:ind w:left="560" w:firstLine="1"/>
        <w:spacing w:after="0"/>
        <w:tabs>
          <w:tab w:leader="none" w:pos="838" w:val="left"/>
        </w:tabs>
        <w:numPr>
          <w:ilvl w:val="0"/>
          <w:numId w:val="9"/>
        </w:numPr>
        <w:rPr>
          <w:rFonts w:ascii="Arial" w:cs="Arial" w:eastAsia="Arial" w:hAnsi="Arial"/>
          <w:sz w:val="22"/>
          <w:szCs w:val="22"/>
          <w:color w:val="auto"/>
        </w:rPr>
      </w:pPr>
      <w:r>
        <w:rPr>
          <w:rFonts w:ascii="Arial" w:cs="Arial" w:eastAsia="Arial" w:hAnsi="Arial"/>
          <w:sz w:val="22"/>
          <w:szCs w:val="22"/>
          <w:color w:val="auto"/>
        </w:rPr>
        <w:t>Personas o entidades vinculadas con el beneficiario, salvo que concurran las siguientes circunstancias:</w:t>
      </w:r>
    </w:p>
    <w:p>
      <w:pPr>
        <w:ind w:left="1080" w:hanging="235"/>
        <w:spacing w:after="0"/>
        <w:tabs>
          <w:tab w:leader="none" w:pos="1080" w:val="left"/>
        </w:tabs>
        <w:numPr>
          <w:ilvl w:val="1"/>
          <w:numId w:val="9"/>
        </w:numPr>
        <w:rPr>
          <w:rFonts w:ascii="Arial" w:cs="Arial" w:eastAsia="Arial" w:hAnsi="Arial"/>
          <w:sz w:val="22"/>
          <w:szCs w:val="22"/>
          <w:color w:val="auto"/>
        </w:rPr>
      </w:pPr>
      <w:r>
        <w:rPr>
          <w:rFonts w:ascii="Arial" w:cs="Arial" w:eastAsia="Arial" w:hAnsi="Arial"/>
          <w:sz w:val="22"/>
          <w:szCs w:val="22"/>
          <w:color w:val="auto"/>
        </w:rPr>
        <w:t>ª Que se obtenga la previa autorización expresa del órgano concedente.</w:t>
      </w:r>
    </w:p>
    <w:p>
      <w:pPr>
        <w:jc w:val="both"/>
        <w:ind w:left="840" w:firstLine="5"/>
        <w:spacing w:after="0"/>
        <w:tabs>
          <w:tab w:leader="none" w:pos="1165" w:val="left"/>
        </w:tabs>
        <w:numPr>
          <w:ilvl w:val="1"/>
          <w:numId w:val="9"/>
        </w:numPr>
        <w:rPr>
          <w:rFonts w:ascii="Arial" w:cs="Arial" w:eastAsia="Arial" w:hAnsi="Arial"/>
          <w:sz w:val="22"/>
          <w:szCs w:val="22"/>
          <w:color w:val="auto"/>
        </w:rPr>
      </w:pPr>
      <w:r>
        <w:rPr>
          <w:rFonts w:ascii="Arial" w:cs="Arial" w:eastAsia="Arial" w:hAnsi="Arial"/>
          <w:sz w:val="22"/>
          <w:szCs w:val="22"/>
          <w:color w:val="auto"/>
        </w:rPr>
        <w:t>ª Que el importe subvencionable no exceda del coste incurrido por la entidad vinculada. La acreditación del coste se realizará en la justificación en los mismos términos establecidos para la acreditación de los gastos del beneficiario.</w:t>
      </w:r>
    </w:p>
    <w:p>
      <w:pPr>
        <w:jc w:val="both"/>
        <w:ind w:left="560" w:firstLine="1"/>
        <w:spacing w:after="0" w:line="247" w:lineRule="auto"/>
        <w:tabs>
          <w:tab w:leader="none" w:pos="854" w:val="left"/>
        </w:tabs>
        <w:numPr>
          <w:ilvl w:val="0"/>
          <w:numId w:val="9"/>
        </w:numPr>
        <w:rPr>
          <w:rFonts w:ascii="Arial" w:cs="Arial" w:eastAsia="Arial" w:hAnsi="Arial"/>
          <w:sz w:val="22"/>
          <w:szCs w:val="22"/>
          <w:color w:val="auto"/>
        </w:rPr>
      </w:pPr>
      <w:r>
        <w:rPr>
          <w:rFonts w:ascii="Arial" w:cs="Arial" w:eastAsia="Arial" w:hAnsi="Arial"/>
          <w:sz w:val="22"/>
          <w:szCs w:val="22"/>
          <w:color w:val="auto"/>
        </w:rPr>
        <w:t>Personas o entidades solicitantes de ayuda o subvención en la misma convocatoria y programa, que no hayan obtenido subvención por no reunir los requisitos o no alcanzar la valoración suficiente.</w:t>
      </w:r>
    </w:p>
    <w:p>
      <w:pPr>
        <w:spacing w:after="0" w:line="209" w:lineRule="exact"/>
        <w:rPr>
          <w:sz w:val="20"/>
          <w:szCs w:val="20"/>
          <w:color w:val="auto"/>
        </w:rPr>
      </w:pPr>
    </w:p>
    <w:p>
      <w:pPr>
        <w:jc w:val="both"/>
        <w:spacing w:after="0" w:line="258" w:lineRule="auto"/>
        <w:rPr>
          <w:sz w:val="20"/>
          <w:szCs w:val="20"/>
          <w:color w:val="auto"/>
        </w:rPr>
      </w:pPr>
      <w:r>
        <w:rPr>
          <w:rFonts w:ascii="Arial" w:cs="Arial" w:eastAsia="Arial" w:hAnsi="Arial"/>
          <w:sz w:val="22"/>
          <w:szCs w:val="22"/>
          <w:color w:val="auto"/>
        </w:rPr>
        <w:t>A efectos de lo dispuesto en el artículo 29.7.d) se considerará que existe vinculación con aquellas personas físicas o jurídicas o agrupaciones sin personalidad en las que concurran las circunstancias previstas en el artículo 68.2 del Reglamento de la Ley General de Subvenciones.</w:t>
      </w:r>
    </w:p>
    <w:p>
      <w:pPr>
        <w:spacing w:after="0" w:line="196" w:lineRule="exact"/>
        <w:rPr>
          <w:sz w:val="20"/>
          <w:szCs w:val="20"/>
          <w:color w:val="auto"/>
        </w:rPr>
      </w:pPr>
    </w:p>
    <w:p>
      <w:pPr>
        <w:jc w:val="both"/>
        <w:spacing w:after="0" w:line="282" w:lineRule="auto"/>
        <w:rPr>
          <w:sz w:val="20"/>
          <w:szCs w:val="20"/>
          <w:color w:val="auto"/>
        </w:rPr>
      </w:pPr>
      <w:r>
        <w:rPr>
          <w:rFonts w:ascii="Arial" w:cs="Arial" w:eastAsia="Arial" w:hAnsi="Arial"/>
          <w:sz w:val="22"/>
          <w:szCs w:val="22"/>
          <w:color w:val="auto"/>
        </w:rPr>
        <w:t>Adicionalmente, se presentará una declaración responsable del representante legal del subcontratista con el que se haya subcontratado o se vaya a contratar la realización de la actividad en la que se acredite que la entidad no está incursa en alguna de las prohibiciones establecidas en el artículo 13 de la Ley 38/2003, de 17 de noviembre, General de Subvenciones y que en la misma no concurre ninguna de las causas previstas en los apartados b), c), d) y e) del apartado 7 del artículo 29 del mismo texto legal, así como en el artículo 5 del Real Decreto Legislativo 4/2015 de 23 de octubre , del Texto Refundido de la Ley de Mercado de Valores.</w:t>
      </w:r>
    </w:p>
    <w:p>
      <w:pPr>
        <w:spacing w:after="0" w:line="156"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El beneficiario presentará además, certificado de que el subcontratista se encuentra al corriente en el cumplimiento de las obligaciones tributarias y frente a la Seguridad Social impuestas por las disposiciones vigentes, en la forma que se determine reglamentariamente.</w:t>
      </w:r>
    </w:p>
    <w:p>
      <w:pPr>
        <w:spacing w:after="0" w:line="200" w:lineRule="exact"/>
        <w:rPr>
          <w:sz w:val="20"/>
          <w:szCs w:val="20"/>
          <w:color w:val="auto"/>
        </w:rPr>
      </w:pPr>
    </w:p>
    <w:p>
      <w:pPr>
        <w:spacing w:after="0" w:line="267"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5" w:name="page16"/>
    <w:bookmarkEnd w:id="15"/>
    <w:p>
      <w:pPr>
        <w:spacing w:after="0"/>
        <w:rPr>
          <w:sz w:val="20"/>
          <w:szCs w:val="20"/>
          <w:color w:val="auto"/>
        </w:rPr>
      </w:pPr>
      <w:r>
        <w:rPr>
          <w:rFonts w:ascii="Arial" w:cs="Arial" w:eastAsia="Arial" w:hAnsi="Arial"/>
          <w:sz w:val="22"/>
          <w:szCs w:val="22"/>
          <w:color w:val="auto"/>
        </w:rPr>
        <w:t>DECIMOSEGUNDA.- JUSTIFICACIÓN DE GASTOS</w:t>
      </w:r>
    </w:p>
    <w:p>
      <w:pPr>
        <w:spacing w:after="0" w:line="253" w:lineRule="exact"/>
        <w:rPr>
          <w:sz w:val="20"/>
          <w:szCs w:val="20"/>
          <w:color w:val="auto"/>
        </w:rPr>
      </w:pPr>
    </w:p>
    <w:p>
      <w:pPr>
        <w:spacing w:after="0" w:line="276" w:lineRule="auto"/>
        <w:rPr>
          <w:sz w:val="20"/>
          <w:szCs w:val="20"/>
          <w:color w:val="auto"/>
        </w:rPr>
      </w:pPr>
      <w:r>
        <w:rPr>
          <w:rFonts w:ascii="Arial" w:cs="Arial" w:eastAsia="Arial" w:hAnsi="Arial"/>
          <w:sz w:val="22"/>
          <w:szCs w:val="22"/>
          <w:color w:val="auto"/>
        </w:rPr>
        <w:t>Se establece como plazo máximo para justificar la financiación recibida hasta el 01 de marzo de 2021, y para ello se aportará:</w:t>
      </w:r>
    </w:p>
    <w:p>
      <w:pPr>
        <w:spacing w:after="0" w:line="44" w:lineRule="exact"/>
        <w:rPr>
          <w:sz w:val="20"/>
          <w:szCs w:val="20"/>
          <w:color w:val="auto"/>
        </w:rPr>
      </w:pPr>
    </w:p>
    <w:p>
      <w:pPr>
        <w:jc w:val="both"/>
        <w:ind w:left="420"/>
        <w:spacing w:after="0" w:line="312" w:lineRule="auto"/>
        <w:rPr>
          <w:sz w:val="20"/>
          <w:szCs w:val="20"/>
          <w:color w:val="auto"/>
        </w:rPr>
      </w:pPr>
      <w:r>
        <w:rPr>
          <w:rFonts w:ascii="Arial" w:cs="Arial" w:eastAsia="Arial" w:hAnsi="Arial"/>
          <w:sz w:val="22"/>
          <w:szCs w:val="22"/>
          <w:color w:val="auto"/>
        </w:rPr>
        <w:t>1.- Certificado emitido por el/la Secretario/a de la entidad con el visto bueno de el/la Presidente/a según Anexo I.</w:t>
      </w:r>
    </w:p>
    <w:p>
      <w:pPr>
        <w:spacing w:after="0" w:line="124" w:lineRule="exact"/>
        <w:rPr>
          <w:sz w:val="20"/>
          <w:szCs w:val="20"/>
          <w:color w:val="auto"/>
        </w:rPr>
      </w:pPr>
    </w:p>
    <w:p>
      <w:pPr>
        <w:jc w:val="both"/>
        <w:ind w:left="420"/>
        <w:spacing w:after="0" w:line="294" w:lineRule="auto"/>
        <w:rPr>
          <w:sz w:val="20"/>
          <w:szCs w:val="20"/>
          <w:color w:val="auto"/>
        </w:rPr>
      </w:pPr>
      <w:r>
        <w:rPr>
          <w:rFonts w:ascii="Arial" w:cs="Arial" w:eastAsia="Arial" w:hAnsi="Arial"/>
          <w:sz w:val="22"/>
          <w:szCs w:val="22"/>
          <w:color w:val="auto"/>
        </w:rPr>
        <w:t>2.- Una memoria justificativa de la subvención concedida y explicativa de las actuaciones realizadas según Anexo II. Dicha memoria deberá estar firmada y sellada por el/la representante de la entidad.</w:t>
      </w:r>
    </w:p>
    <w:p>
      <w:pPr>
        <w:spacing w:after="0" w:line="143" w:lineRule="exact"/>
        <w:rPr>
          <w:sz w:val="20"/>
          <w:szCs w:val="20"/>
          <w:color w:val="auto"/>
        </w:rPr>
      </w:pPr>
    </w:p>
    <w:p>
      <w:pPr>
        <w:jc w:val="both"/>
        <w:ind w:left="420"/>
        <w:spacing w:after="0" w:line="312" w:lineRule="auto"/>
        <w:rPr>
          <w:sz w:val="20"/>
          <w:szCs w:val="20"/>
          <w:color w:val="auto"/>
        </w:rPr>
      </w:pPr>
      <w:r>
        <w:rPr>
          <w:rFonts w:ascii="Arial" w:cs="Arial" w:eastAsia="Arial" w:hAnsi="Arial"/>
          <w:sz w:val="22"/>
          <w:szCs w:val="22"/>
          <w:color w:val="auto"/>
        </w:rPr>
        <w:t>3.- Ficha de gasto de personal del servicio de promoción de autonomía personal (Se adjunta modelo como Anexo III).</w:t>
      </w:r>
    </w:p>
    <w:p>
      <w:pPr>
        <w:spacing w:after="0" w:line="124" w:lineRule="exact"/>
        <w:rPr>
          <w:sz w:val="20"/>
          <w:szCs w:val="20"/>
          <w:color w:val="auto"/>
        </w:rPr>
      </w:pPr>
    </w:p>
    <w:p>
      <w:pPr>
        <w:ind w:left="420"/>
        <w:spacing w:after="0"/>
        <w:rPr>
          <w:sz w:val="20"/>
          <w:szCs w:val="20"/>
          <w:color w:val="auto"/>
        </w:rPr>
      </w:pPr>
      <w:r>
        <w:rPr>
          <w:rFonts w:ascii="Arial" w:cs="Arial" w:eastAsia="Arial" w:hAnsi="Arial"/>
          <w:sz w:val="22"/>
          <w:szCs w:val="22"/>
          <w:color w:val="auto"/>
        </w:rPr>
        <w:t>4.- Ficha de gastos en facturas (se adjunta modelo Anexo IV y V).</w:t>
      </w:r>
    </w:p>
    <w:p>
      <w:pPr>
        <w:spacing w:after="0" w:line="238" w:lineRule="exact"/>
        <w:rPr>
          <w:sz w:val="20"/>
          <w:szCs w:val="20"/>
          <w:color w:val="auto"/>
        </w:rPr>
      </w:pPr>
    </w:p>
    <w:p>
      <w:pPr>
        <w:jc w:val="both"/>
        <w:ind w:left="420"/>
        <w:spacing w:after="0" w:line="288" w:lineRule="auto"/>
        <w:rPr>
          <w:sz w:val="20"/>
          <w:szCs w:val="20"/>
          <w:color w:val="auto"/>
        </w:rPr>
      </w:pPr>
      <w:r>
        <w:rPr>
          <w:rFonts w:ascii="Arial" w:cs="Arial" w:eastAsia="Arial" w:hAnsi="Arial"/>
          <w:sz w:val="22"/>
          <w:szCs w:val="22"/>
          <w:color w:val="auto"/>
        </w:rPr>
        <w:t>5.- Informe de Auditoría externa sobre el cumplimiento de las condiciones de las obligaciones del beneficiario y la justificación de los gastos. El auditor ha de estar inscrito como tal en el Registro Oficial de Auditores de Cuentas dependiente del Instituto de Contabilidad y Auditoría de Cuentas.</w:t>
      </w:r>
    </w:p>
    <w:p>
      <w:pPr>
        <w:spacing w:after="0" w:line="149" w:lineRule="exact"/>
        <w:rPr>
          <w:sz w:val="20"/>
          <w:szCs w:val="20"/>
          <w:color w:val="auto"/>
        </w:rPr>
      </w:pPr>
    </w:p>
    <w:p>
      <w:pPr>
        <w:jc w:val="both"/>
        <w:ind w:left="420"/>
        <w:spacing w:after="0" w:line="282" w:lineRule="auto"/>
        <w:rPr>
          <w:sz w:val="20"/>
          <w:szCs w:val="20"/>
          <w:color w:val="auto"/>
        </w:rPr>
      </w:pPr>
      <w:r>
        <w:rPr>
          <w:rFonts w:ascii="Arial" w:cs="Arial" w:eastAsia="Arial" w:hAnsi="Arial"/>
          <w:sz w:val="22"/>
          <w:szCs w:val="22"/>
          <w:color w:val="auto"/>
        </w:rPr>
        <w:t>El auditor emitirá un informe de verificación y revisión en el que se detallarán las comprobaciones realizadas y se comentarán todos aquellos hechos o excepciones que pudieran suponer un incumplimiento por parte del beneficiario de la normativa aplicable o de las condiciones impuestas para la percepción de la subvención en la presente resolución, debiendo proporcionar la información con suficiente detalle y precisión para que el órgano gestor pueda concluir al respecto, todo ello con relación a la justificación de la subvención concedida, así como las verificaciones administrativas realizadas in situ.</w:t>
      </w:r>
    </w:p>
    <w:p>
      <w:pPr>
        <w:spacing w:after="0" w:line="156" w:lineRule="exact"/>
        <w:rPr>
          <w:sz w:val="20"/>
          <w:szCs w:val="20"/>
          <w:color w:val="auto"/>
        </w:rPr>
      </w:pPr>
    </w:p>
    <w:p>
      <w:pPr>
        <w:jc w:val="both"/>
        <w:ind w:left="420"/>
        <w:spacing w:after="0" w:line="294" w:lineRule="auto"/>
        <w:rPr>
          <w:sz w:val="20"/>
          <w:szCs w:val="20"/>
          <w:color w:val="auto"/>
        </w:rPr>
      </w:pPr>
      <w:r>
        <w:rPr>
          <w:rFonts w:ascii="Arial" w:cs="Arial" w:eastAsia="Arial" w:hAnsi="Arial"/>
          <w:sz w:val="22"/>
          <w:szCs w:val="22"/>
          <w:color w:val="auto"/>
        </w:rPr>
        <w:t>El informe de auditoría ha de corroborar el correcto estampillado de toda la documentación justificativa de los gastos de personal (nóminas, modelo 111, TC1 y TC2) y de facturas, modelo 115 y modelo 180, si los hubiera.</w:t>
      </w:r>
    </w:p>
    <w:p>
      <w:pPr>
        <w:spacing w:after="0" w:line="143" w:lineRule="exact"/>
        <w:rPr>
          <w:sz w:val="20"/>
          <w:szCs w:val="20"/>
          <w:color w:val="auto"/>
        </w:rPr>
      </w:pPr>
    </w:p>
    <w:p>
      <w:pPr>
        <w:jc w:val="both"/>
        <w:ind w:left="420"/>
        <w:spacing w:after="0" w:line="294" w:lineRule="auto"/>
        <w:rPr>
          <w:sz w:val="20"/>
          <w:szCs w:val="20"/>
          <w:color w:val="auto"/>
        </w:rPr>
      </w:pPr>
      <w:r>
        <w:rPr>
          <w:rFonts w:ascii="Arial" w:cs="Arial" w:eastAsia="Arial" w:hAnsi="Arial"/>
          <w:sz w:val="22"/>
          <w:szCs w:val="22"/>
          <w:color w:val="auto"/>
        </w:rPr>
        <w:t>Con independencia del resultado del informe de auditoría, el órgano administrativo concedente podrá efectuar cuantas actuaciones de comprobación considere convenientes y necesarias incluyendo la revisión de la documentación justificativa original.</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420"/>
        <w:spacing w:after="0"/>
        <w:rPr>
          <w:sz w:val="20"/>
          <w:szCs w:val="20"/>
          <w:color w:val="auto"/>
        </w:rPr>
      </w:pPr>
      <w:r>
        <w:rPr>
          <w:rFonts w:ascii="Arial" w:cs="Arial" w:eastAsia="Arial" w:hAnsi="Arial"/>
          <w:sz w:val="22"/>
          <w:szCs w:val="22"/>
          <w:color w:val="auto"/>
        </w:rPr>
        <w:t>Esta documentación justificativa comprenderá:</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ind w:left="700"/>
        <w:spacing w:after="0"/>
        <w:rPr>
          <w:sz w:val="20"/>
          <w:szCs w:val="20"/>
          <w:color w:val="auto"/>
        </w:rPr>
      </w:pPr>
      <w:r>
        <w:rPr>
          <w:rFonts w:ascii="Arial" w:cs="Arial" w:eastAsia="Arial" w:hAnsi="Arial"/>
          <w:sz w:val="22"/>
          <w:szCs w:val="22"/>
          <w:color w:val="auto"/>
        </w:rPr>
        <w:t>A) Gastos de personal:</w:t>
      </w:r>
    </w:p>
    <w:p>
      <w:pPr>
        <w:spacing w:after="0" w:line="200" w:lineRule="exact"/>
        <w:rPr>
          <w:sz w:val="20"/>
          <w:szCs w:val="20"/>
          <w:color w:val="auto"/>
        </w:rPr>
      </w:pPr>
    </w:p>
    <w:p>
      <w:pPr>
        <w:spacing w:after="0" w:line="200" w:lineRule="exact"/>
        <w:rPr>
          <w:sz w:val="20"/>
          <w:szCs w:val="20"/>
          <w:color w:val="auto"/>
        </w:rPr>
      </w:pPr>
    </w:p>
    <w:p>
      <w:pPr>
        <w:spacing w:after="0" w:line="328" w:lineRule="exact"/>
        <w:rPr>
          <w:sz w:val="20"/>
          <w:szCs w:val="20"/>
          <w:color w:val="auto"/>
        </w:rPr>
      </w:pPr>
    </w:p>
    <w:p>
      <w:pPr>
        <w:ind w:left="960" w:hanging="261"/>
        <w:spacing w:after="0"/>
        <w:tabs>
          <w:tab w:leader="none" w:pos="960" w:val="left"/>
        </w:tabs>
        <w:numPr>
          <w:ilvl w:val="0"/>
          <w:numId w:val="10"/>
        </w:numPr>
        <w:rPr>
          <w:rFonts w:ascii="Arial" w:cs="Arial" w:eastAsia="Arial" w:hAnsi="Arial"/>
          <w:sz w:val="22"/>
          <w:szCs w:val="22"/>
          <w:color w:val="auto"/>
        </w:rPr>
      </w:pPr>
      <w:r>
        <w:rPr>
          <w:rFonts w:ascii="Arial" w:cs="Arial" w:eastAsia="Arial" w:hAnsi="Arial"/>
          <w:sz w:val="22"/>
          <w:szCs w:val="22"/>
          <w:color w:val="auto"/>
        </w:rPr>
        <w:t>Copia compulsada de los contratos de trabajo.</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328" w:lineRule="exact"/>
        <w:rPr>
          <w:rFonts w:ascii="Arial" w:cs="Arial" w:eastAsia="Arial" w:hAnsi="Arial"/>
          <w:sz w:val="22"/>
          <w:szCs w:val="22"/>
          <w:color w:val="auto"/>
        </w:rPr>
      </w:pPr>
    </w:p>
    <w:p>
      <w:pPr>
        <w:jc w:val="both"/>
        <w:ind w:left="700" w:firstLine="2"/>
        <w:spacing w:after="0" w:line="283" w:lineRule="auto"/>
        <w:tabs>
          <w:tab w:leader="none" w:pos="969" w:val="left"/>
        </w:tabs>
        <w:numPr>
          <w:ilvl w:val="0"/>
          <w:numId w:val="10"/>
        </w:numPr>
        <w:rPr>
          <w:rFonts w:ascii="Arial" w:cs="Arial" w:eastAsia="Arial" w:hAnsi="Arial"/>
          <w:sz w:val="22"/>
          <w:szCs w:val="22"/>
          <w:color w:val="auto"/>
        </w:rPr>
      </w:pPr>
      <w:r>
        <w:rPr>
          <w:rFonts w:ascii="Arial" w:cs="Arial" w:eastAsia="Arial" w:hAnsi="Arial"/>
          <w:sz w:val="22"/>
          <w:szCs w:val="22"/>
          <w:color w:val="auto"/>
        </w:rPr>
        <w:t>Las nóminas originales y sus comprobantes de pago (orden de transferencia y extracto bancario que refleje la operación), debidamente estampillados al efecto de concurrencia de subvenciones.</w:t>
      </w:r>
    </w:p>
    <w:p>
      <w:pPr>
        <w:spacing w:after="0" w:line="2"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16</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6" w:name="page17"/>
    <w:bookmarkEnd w:id="16"/>
    <w:p>
      <w:pPr>
        <w:jc w:val="both"/>
        <w:ind w:left="400" w:firstLine="3"/>
        <w:spacing w:after="0" w:line="288" w:lineRule="auto"/>
        <w:tabs>
          <w:tab w:leader="none" w:pos="667" w:val="left"/>
        </w:tabs>
        <w:numPr>
          <w:ilvl w:val="0"/>
          <w:numId w:val="11"/>
        </w:numPr>
        <w:rPr>
          <w:rFonts w:ascii="Arial" w:cs="Arial" w:eastAsia="Arial" w:hAnsi="Arial"/>
          <w:sz w:val="22"/>
          <w:szCs w:val="22"/>
          <w:color w:val="auto"/>
        </w:rPr>
      </w:pPr>
      <w:r>
        <w:rPr>
          <w:rFonts w:ascii="Arial" w:cs="Arial" w:eastAsia="Arial" w:hAnsi="Arial"/>
          <w:sz w:val="22"/>
          <w:szCs w:val="22"/>
          <w:color w:val="auto"/>
        </w:rPr>
        <w:t>Los Modelos 111 originales de las retenciones practicadas y sus comprobantes de pago (extracto bancario que refleje la operación). Deberá entenderse por original el documento, que en su caso, se haya presentado o se vaya a presentar para el estampillado al efecto de concurrencia de subvenciones.</w:t>
      </w:r>
    </w:p>
    <w:p>
      <w:pPr>
        <w:spacing w:after="0" w:line="200" w:lineRule="exact"/>
        <w:rPr>
          <w:rFonts w:ascii="Arial" w:cs="Arial" w:eastAsia="Arial" w:hAnsi="Arial"/>
          <w:sz w:val="22"/>
          <w:szCs w:val="22"/>
          <w:color w:val="auto"/>
        </w:rPr>
      </w:pPr>
    </w:p>
    <w:p>
      <w:pPr>
        <w:spacing w:after="0" w:line="360" w:lineRule="exact"/>
        <w:rPr>
          <w:rFonts w:ascii="Arial" w:cs="Arial" w:eastAsia="Arial" w:hAnsi="Arial"/>
          <w:sz w:val="22"/>
          <w:szCs w:val="22"/>
          <w:color w:val="auto"/>
        </w:rPr>
      </w:pPr>
    </w:p>
    <w:p>
      <w:pPr>
        <w:ind w:left="400" w:hanging="1"/>
        <w:spacing w:after="0" w:line="312" w:lineRule="auto"/>
        <w:tabs>
          <w:tab w:leader="none" w:pos="700" w:val="left"/>
        </w:tabs>
        <w:numPr>
          <w:ilvl w:val="0"/>
          <w:numId w:val="11"/>
        </w:numPr>
        <w:rPr>
          <w:rFonts w:ascii="Arial" w:cs="Arial" w:eastAsia="Arial" w:hAnsi="Arial"/>
          <w:sz w:val="22"/>
          <w:szCs w:val="22"/>
          <w:color w:val="auto"/>
        </w:rPr>
      </w:pPr>
      <w:r>
        <w:rPr>
          <w:rFonts w:ascii="Arial" w:cs="Arial" w:eastAsia="Arial" w:hAnsi="Arial"/>
          <w:sz w:val="22"/>
          <w:szCs w:val="22"/>
          <w:color w:val="auto"/>
        </w:rPr>
        <w:t>Modelo 190, de las hojas donde conste su presentación en Agencia Tributaria y de aquellas donde consten los trabajadores del servicio.</w:t>
      </w:r>
    </w:p>
    <w:p>
      <w:pPr>
        <w:spacing w:after="0" w:line="200" w:lineRule="exact"/>
        <w:rPr>
          <w:rFonts w:ascii="Arial" w:cs="Arial" w:eastAsia="Arial" w:hAnsi="Arial"/>
          <w:sz w:val="22"/>
          <w:szCs w:val="22"/>
          <w:color w:val="auto"/>
        </w:rPr>
      </w:pPr>
    </w:p>
    <w:p>
      <w:pPr>
        <w:spacing w:after="0" w:line="200" w:lineRule="exact"/>
        <w:rPr>
          <w:rFonts w:ascii="Arial" w:cs="Arial" w:eastAsia="Arial" w:hAnsi="Arial"/>
          <w:sz w:val="22"/>
          <w:szCs w:val="22"/>
          <w:color w:val="auto"/>
        </w:rPr>
      </w:pPr>
    </w:p>
    <w:p>
      <w:pPr>
        <w:spacing w:after="0" w:line="215" w:lineRule="exact"/>
        <w:rPr>
          <w:rFonts w:ascii="Arial" w:cs="Arial" w:eastAsia="Arial" w:hAnsi="Arial"/>
          <w:sz w:val="22"/>
          <w:szCs w:val="22"/>
          <w:color w:val="auto"/>
        </w:rPr>
      </w:pPr>
    </w:p>
    <w:p>
      <w:pPr>
        <w:jc w:val="both"/>
        <w:ind w:left="400" w:hanging="1"/>
        <w:spacing w:after="0" w:line="285" w:lineRule="auto"/>
        <w:tabs>
          <w:tab w:leader="none" w:pos="657" w:val="left"/>
        </w:tabs>
        <w:numPr>
          <w:ilvl w:val="0"/>
          <w:numId w:val="11"/>
        </w:numPr>
        <w:rPr>
          <w:rFonts w:ascii="Arial" w:cs="Arial" w:eastAsia="Arial" w:hAnsi="Arial"/>
          <w:sz w:val="22"/>
          <w:szCs w:val="22"/>
          <w:color w:val="auto"/>
        </w:rPr>
      </w:pPr>
      <w:r>
        <w:rPr>
          <w:rFonts w:ascii="Arial" w:cs="Arial" w:eastAsia="Arial" w:hAnsi="Arial"/>
          <w:sz w:val="22"/>
          <w:szCs w:val="22"/>
          <w:color w:val="auto"/>
        </w:rPr>
        <w:t>TC1 y TC2 originales de cotizaciones a la Seguridad Social y sus comprobantes de pago (extracto bancario que refleje la operación). El TC2 deberá estar firmado por el titular de la autorización. Se entenderá como original, el documento que en su caso, se haya presentado o se vaya a presentar para el estampillado al efecto de concurrencia de subvenciones.</w:t>
      </w:r>
    </w:p>
    <w:p>
      <w:pPr>
        <w:spacing w:after="0" w:line="200" w:lineRule="exact"/>
        <w:rPr>
          <w:rFonts w:ascii="Arial" w:cs="Arial" w:eastAsia="Arial" w:hAnsi="Arial"/>
          <w:sz w:val="22"/>
          <w:szCs w:val="22"/>
          <w:color w:val="auto"/>
        </w:rPr>
      </w:pPr>
    </w:p>
    <w:p>
      <w:pPr>
        <w:spacing w:after="0" w:line="283" w:lineRule="exact"/>
        <w:rPr>
          <w:rFonts w:ascii="Arial" w:cs="Arial" w:eastAsia="Arial" w:hAnsi="Arial"/>
          <w:sz w:val="22"/>
          <w:szCs w:val="22"/>
          <w:color w:val="auto"/>
        </w:rPr>
      </w:pPr>
    </w:p>
    <w:p>
      <w:pPr>
        <w:jc w:val="both"/>
        <w:ind w:left="400" w:hanging="1"/>
        <w:spacing w:after="0" w:line="288" w:lineRule="auto"/>
        <w:tabs>
          <w:tab w:leader="none" w:pos="698" w:val="left"/>
        </w:tabs>
        <w:numPr>
          <w:ilvl w:val="0"/>
          <w:numId w:val="11"/>
        </w:numPr>
        <w:rPr>
          <w:rFonts w:ascii="Arial" w:cs="Arial" w:eastAsia="Arial" w:hAnsi="Arial"/>
          <w:sz w:val="22"/>
          <w:szCs w:val="22"/>
          <w:color w:val="auto"/>
        </w:rPr>
      </w:pPr>
      <w:r>
        <w:rPr>
          <w:rFonts w:ascii="Arial" w:cs="Arial" w:eastAsia="Arial" w:hAnsi="Arial"/>
          <w:sz w:val="22"/>
          <w:szCs w:val="22"/>
          <w:color w:val="auto"/>
        </w:rPr>
        <w:t>Listado de costes del personal del servicio en el que conste, al menos, la siguiente información relativa a cada trabajador/a: líquido de la nómina, seguridad social a cargo del trabajador, seguridad social a cargo de la empresa, pagos delegados, bonificaciones, total de la seguridad social, retenciones en concepto de IRPF, pagas, total, etc.</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ind w:left="400"/>
        <w:spacing w:after="0"/>
        <w:rPr>
          <w:sz w:val="20"/>
          <w:szCs w:val="20"/>
          <w:color w:val="auto"/>
        </w:rPr>
      </w:pPr>
      <w:r>
        <w:rPr>
          <w:rFonts w:ascii="Arial" w:cs="Arial" w:eastAsia="Arial" w:hAnsi="Arial"/>
          <w:sz w:val="22"/>
          <w:szCs w:val="22"/>
          <w:color w:val="auto"/>
        </w:rPr>
        <w:t>B) Gastos de actividades y mantenimiento:</w:t>
      </w:r>
    </w:p>
    <w:p>
      <w:pPr>
        <w:spacing w:after="0" w:line="200" w:lineRule="exact"/>
        <w:rPr>
          <w:sz w:val="20"/>
          <w:szCs w:val="20"/>
          <w:color w:val="auto"/>
        </w:rPr>
      </w:pPr>
    </w:p>
    <w:p>
      <w:pPr>
        <w:spacing w:after="0" w:line="200" w:lineRule="exact"/>
        <w:rPr>
          <w:sz w:val="20"/>
          <w:szCs w:val="20"/>
          <w:color w:val="auto"/>
        </w:rPr>
      </w:pPr>
    </w:p>
    <w:p>
      <w:pPr>
        <w:spacing w:after="0" w:line="249" w:lineRule="exact"/>
        <w:rPr>
          <w:sz w:val="20"/>
          <w:szCs w:val="20"/>
          <w:color w:val="auto"/>
        </w:rPr>
      </w:pPr>
    </w:p>
    <w:p>
      <w:pPr>
        <w:jc w:val="both"/>
        <w:ind w:left="400" w:hanging="1"/>
        <w:spacing w:after="0" w:line="282" w:lineRule="auto"/>
        <w:tabs>
          <w:tab w:leader="none" w:pos="725" w:val="left"/>
        </w:tabs>
        <w:numPr>
          <w:ilvl w:val="0"/>
          <w:numId w:val="12"/>
        </w:numPr>
        <w:rPr>
          <w:rFonts w:ascii="Arial" w:cs="Arial" w:eastAsia="Arial" w:hAnsi="Arial"/>
          <w:sz w:val="22"/>
          <w:szCs w:val="22"/>
          <w:color w:val="auto"/>
        </w:rPr>
      </w:pPr>
      <w:r>
        <w:rPr>
          <w:rFonts w:ascii="Arial" w:cs="Arial" w:eastAsia="Arial" w:hAnsi="Arial"/>
          <w:sz w:val="22"/>
          <w:szCs w:val="22"/>
          <w:color w:val="auto"/>
        </w:rPr>
        <w:t>.- Facturas originales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servicio al que corresponde y sus comprobantes de pago (orden de transferencia y extracto bancario que refleje la operación).</w:t>
      </w:r>
    </w:p>
    <w:p>
      <w:pPr>
        <w:spacing w:after="0" w:line="200" w:lineRule="exact"/>
        <w:rPr>
          <w:sz w:val="20"/>
          <w:szCs w:val="20"/>
          <w:color w:val="auto"/>
        </w:rPr>
      </w:pPr>
    </w:p>
    <w:p>
      <w:pPr>
        <w:spacing w:after="0" w:line="287" w:lineRule="exact"/>
        <w:rPr>
          <w:sz w:val="20"/>
          <w:szCs w:val="20"/>
          <w:color w:val="auto"/>
        </w:rPr>
      </w:pPr>
    </w:p>
    <w:p>
      <w:pPr>
        <w:ind w:left="400"/>
        <w:spacing w:after="0"/>
        <w:rPr>
          <w:sz w:val="20"/>
          <w:szCs w:val="20"/>
          <w:color w:val="auto"/>
        </w:rPr>
      </w:pPr>
      <w:r>
        <w:rPr>
          <w:rFonts w:ascii="Arial" w:cs="Arial" w:eastAsia="Arial" w:hAnsi="Arial"/>
          <w:sz w:val="22"/>
          <w:szCs w:val="22"/>
          <w:color w:val="auto"/>
        </w:rPr>
        <w:t>La documentación acreditativa del pago de dichas facturas será la siguiente:</w:t>
      </w:r>
    </w:p>
    <w:p>
      <w:pPr>
        <w:spacing w:after="0" w:line="200" w:lineRule="exact"/>
        <w:rPr>
          <w:sz w:val="20"/>
          <w:szCs w:val="20"/>
          <w:color w:val="auto"/>
        </w:rPr>
      </w:pPr>
    </w:p>
    <w:p>
      <w:pPr>
        <w:spacing w:after="0" w:line="369" w:lineRule="exact"/>
        <w:rPr>
          <w:sz w:val="20"/>
          <w:szCs w:val="20"/>
          <w:color w:val="auto"/>
        </w:rPr>
      </w:pPr>
    </w:p>
    <w:p>
      <w:pPr>
        <w:jc w:val="both"/>
        <w:ind w:left="760" w:hanging="361"/>
        <w:spacing w:after="0" w:line="248" w:lineRule="auto"/>
        <w:tabs>
          <w:tab w:leader="none" w:pos="760" w:val="left"/>
        </w:tabs>
        <w:numPr>
          <w:ilvl w:val="0"/>
          <w:numId w:val="13"/>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por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w:t>
      </w:r>
    </w:p>
    <w:p>
      <w:pPr>
        <w:spacing w:after="0" w:line="76" w:lineRule="exact"/>
        <w:rPr>
          <w:rFonts w:ascii="Times New Roman" w:cs="Times New Roman" w:eastAsia="Times New Roman" w:hAnsi="Times New Roman"/>
          <w:sz w:val="22"/>
          <w:szCs w:val="22"/>
          <w:color w:val="auto"/>
        </w:rPr>
      </w:pPr>
    </w:p>
    <w:p>
      <w:pPr>
        <w:jc w:val="both"/>
        <w:ind w:left="760" w:hanging="361"/>
        <w:spacing w:after="0" w:line="257" w:lineRule="auto"/>
        <w:tabs>
          <w:tab w:leader="none" w:pos="760" w:val="left"/>
        </w:tabs>
        <w:numPr>
          <w:ilvl w:val="0"/>
          <w:numId w:val="13"/>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en efectivo, recibo del proveedor en el que conste: los datos del proveedor, el número de la factura, la forma de pago, el importe y fecha de pago, debidamente firmado y sellado. Sólo se admitirán pagos en metálico siempre y cuando</w:t>
      </w:r>
    </w:p>
    <w:p>
      <w:pPr>
        <w:spacing w:after="0" w:line="390"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17</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340"/>
          </w:cols>
          <w:pgMar w:left="1440" w:top="1043"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043" w:right="1126" w:bottom="0" w:gutter="0" w:footer="0" w:header="0"/>
          <w:type w:val="continuous"/>
        </w:sectPr>
      </w:pPr>
    </w:p>
    <w:bookmarkStart w:id="17" w:name="page18"/>
    <w:bookmarkEnd w:id="17"/>
    <w:p>
      <w:pPr>
        <w:ind w:left="760"/>
        <w:spacing w:after="0" w:line="276" w:lineRule="auto"/>
        <w:rPr>
          <w:sz w:val="20"/>
          <w:szCs w:val="20"/>
          <w:color w:val="auto"/>
        </w:rPr>
      </w:pPr>
      <w:r>
        <w:rPr>
          <w:rFonts w:ascii="Arial" w:cs="Arial" w:eastAsia="Arial" w:hAnsi="Arial"/>
          <w:sz w:val="22"/>
          <w:szCs w:val="22"/>
          <w:color w:val="auto"/>
        </w:rPr>
        <w:t>el importe de cada pago sea inferior a 600,00 € y la suma total de los mismos no supere el 25% de la cantidad total justificada.</w:t>
      </w:r>
    </w:p>
    <w:p>
      <w:pPr>
        <w:spacing w:after="0" w:line="44" w:lineRule="exact"/>
        <w:rPr>
          <w:sz w:val="20"/>
          <w:szCs w:val="20"/>
          <w:color w:val="auto"/>
        </w:rPr>
      </w:pPr>
    </w:p>
    <w:p>
      <w:pPr>
        <w:ind w:left="760" w:hanging="361"/>
        <w:spacing w:after="0" w:line="275" w:lineRule="auto"/>
        <w:tabs>
          <w:tab w:leader="none" w:pos="760" w:val="left"/>
        </w:tabs>
        <w:numPr>
          <w:ilvl w:val="0"/>
          <w:numId w:val="14"/>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tarjeta de crédito deben acompañarse del justificante de dicho pago y extracto bancario que refleje la operación.</w:t>
      </w:r>
    </w:p>
    <w:p>
      <w:pPr>
        <w:spacing w:after="0" w:line="45" w:lineRule="exact"/>
        <w:rPr>
          <w:rFonts w:ascii="Times New Roman" w:cs="Times New Roman" w:eastAsia="Times New Roman" w:hAnsi="Times New Roman"/>
          <w:sz w:val="22"/>
          <w:szCs w:val="22"/>
          <w:color w:val="auto"/>
        </w:rPr>
      </w:pPr>
    </w:p>
    <w:p>
      <w:pPr>
        <w:ind w:left="760" w:hanging="361"/>
        <w:spacing w:after="0" w:line="275" w:lineRule="auto"/>
        <w:tabs>
          <w:tab w:leader="none" w:pos="760" w:val="left"/>
        </w:tabs>
        <w:numPr>
          <w:ilvl w:val="0"/>
          <w:numId w:val="14"/>
        </w:numPr>
        <w:rPr>
          <w:rFonts w:ascii="Times New Roman" w:cs="Times New Roman" w:eastAsia="Times New Roman" w:hAnsi="Times New Roman"/>
          <w:sz w:val="22"/>
          <w:szCs w:val="22"/>
          <w:color w:val="auto"/>
        </w:rPr>
      </w:pPr>
      <w:r>
        <w:rPr>
          <w:rFonts w:ascii="Arial" w:cs="Arial" w:eastAsia="Arial" w:hAnsi="Arial"/>
          <w:sz w:val="22"/>
          <w:szCs w:val="22"/>
          <w:color w:val="auto"/>
        </w:rPr>
        <w:t>Para facturas pagadas mediante talón o cheque bancario nominativo, copia del mismo y extracto bancario que refleje la operación.</w:t>
      </w:r>
    </w:p>
    <w:p>
      <w:pPr>
        <w:spacing w:after="0" w:line="336" w:lineRule="exact"/>
        <w:rPr>
          <w:sz w:val="20"/>
          <w:szCs w:val="20"/>
          <w:color w:val="auto"/>
        </w:rPr>
      </w:pPr>
    </w:p>
    <w:p>
      <w:pPr>
        <w:jc w:val="both"/>
        <w:ind w:left="400" w:hanging="1"/>
        <w:spacing w:after="0" w:line="280" w:lineRule="auto"/>
        <w:tabs>
          <w:tab w:leader="none" w:pos="666" w:val="left"/>
        </w:tabs>
        <w:numPr>
          <w:ilvl w:val="0"/>
          <w:numId w:val="15"/>
        </w:numPr>
        <w:rPr>
          <w:rFonts w:ascii="Arial" w:cs="Arial" w:eastAsia="Arial" w:hAnsi="Arial"/>
          <w:sz w:val="22"/>
          <w:szCs w:val="22"/>
          <w:color w:val="auto"/>
        </w:rPr>
      </w:pPr>
      <w:r>
        <w:rPr>
          <w:rFonts w:ascii="Arial" w:cs="Arial" w:eastAsia="Arial" w:hAnsi="Arial"/>
          <w:sz w:val="22"/>
          <w:szCs w:val="22"/>
          <w:color w:val="auto"/>
        </w:rPr>
        <w:t>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servicio al que corresponde, comprobantes de pago, el Mod. 111 correspondientes y sus comprobantes de pago (extracto bancario que refleje la operación), así como el Mod. 190.</w:t>
      </w:r>
    </w:p>
    <w:p>
      <w:pPr>
        <w:spacing w:after="0" w:line="200" w:lineRule="exact"/>
        <w:rPr>
          <w:rFonts w:ascii="Arial" w:cs="Arial" w:eastAsia="Arial" w:hAnsi="Arial"/>
          <w:sz w:val="22"/>
          <w:szCs w:val="22"/>
          <w:color w:val="auto"/>
        </w:rPr>
      </w:pPr>
    </w:p>
    <w:p>
      <w:pPr>
        <w:spacing w:after="0" w:line="293" w:lineRule="exact"/>
        <w:rPr>
          <w:rFonts w:ascii="Arial" w:cs="Arial" w:eastAsia="Arial" w:hAnsi="Arial"/>
          <w:sz w:val="22"/>
          <w:szCs w:val="22"/>
          <w:color w:val="auto"/>
        </w:rPr>
      </w:pPr>
    </w:p>
    <w:p>
      <w:pPr>
        <w:ind w:left="400" w:hanging="1"/>
        <w:spacing w:after="0" w:line="312" w:lineRule="auto"/>
        <w:tabs>
          <w:tab w:leader="none" w:pos="683" w:val="left"/>
        </w:tabs>
        <w:numPr>
          <w:ilvl w:val="0"/>
          <w:numId w:val="15"/>
        </w:numPr>
        <w:rPr>
          <w:rFonts w:ascii="Arial" w:cs="Arial" w:eastAsia="Arial" w:hAnsi="Arial"/>
          <w:sz w:val="22"/>
          <w:szCs w:val="22"/>
          <w:color w:val="auto"/>
        </w:rPr>
      </w:pPr>
      <w:r>
        <w:rPr>
          <w:rFonts w:ascii="Arial" w:cs="Arial" w:eastAsia="Arial" w:hAnsi="Arial"/>
          <w:sz w:val="22"/>
          <w:szCs w:val="22"/>
          <w:color w:val="auto"/>
        </w:rPr>
        <w:t>Documento emitido por entidad financiera en la que conste el nombre del titular de la cuenta/s con cargo a la cual se abonaron los gastos de personal y los restantes gastos.</w:t>
      </w:r>
    </w:p>
    <w:p>
      <w:pPr>
        <w:spacing w:after="0" w:line="200" w:lineRule="exact"/>
        <w:rPr>
          <w:rFonts w:ascii="Arial" w:cs="Arial" w:eastAsia="Arial" w:hAnsi="Arial"/>
          <w:sz w:val="22"/>
          <w:szCs w:val="22"/>
          <w:color w:val="auto"/>
        </w:rPr>
      </w:pPr>
    </w:p>
    <w:p>
      <w:pPr>
        <w:spacing w:after="0" w:line="255" w:lineRule="exact"/>
        <w:rPr>
          <w:rFonts w:ascii="Arial" w:cs="Arial" w:eastAsia="Arial" w:hAnsi="Arial"/>
          <w:sz w:val="22"/>
          <w:szCs w:val="22"/>
          <w:color w:val="auto"/>
        </w:rPr>
      </w:pPr>
    </w:p>
    <w:p>
      <w:pPr>
        <w:jc w:val="both"/>
        <w:ind w:left="400" w:hanging="1"/>
        <w:spacing w:after="0" w:line="288" w:lineRule="auto"/>
        <w:tabs>
          <w:tab w:leader="none" w:pos="673" w:val="left"/>
        </w:tabs>
        <w:numPr>
          <w:ilvl w:val="0"/>
          <w:numId w:val="15"/>
        </w:numPr>
        <w:rPr>
          <w:rFonts w:ascii="Arial" w:cs="Arial" w:eastAsia="Arial" w:hAnsi="Arial"/>
          <w:sz w:val="22"/>
          <w:szCs w:val="22"/>
          <w:color w:val="auto"/>
        </w:rPr>
      </w:pPr>
      <w:r>
        <w:rPr>
          <w:rFonts w:ascii="Arial" w:cs="Arial" w:eastAsia="Arial" w:hAnsi="Arial"/>
          <w:sz w:val="22"/>
          <w:szCs w:val="22"/>
          <w:color w:val="auto"/>
        </w:rPr>
        <w:t>En caso de que se imputen a la subvención gastos derivados del informe de Auditoría, se aportará copia compulsada de la factura, o documento de valor probatorio equivalente en el tráfico jurídico mercantil, y documento acreditativo del pago de dicha factura (extracto bancario que refleje la operación).</w:t>
      </w:r>
    </w:p>
    <w:p>
      <w:pPr>
        <w:spacing w:after="0" w:line="200" w:lineRule="exact"/>
        <w:rPr>
          <w:rFonts w:ascii="Arial" w:cs="Arial" w:eastAsia="Arial" w:hAnsi="Arial"/>
          <w:sz w:val="22"/>
          <w:szCs w:val="22"/>
          <w:color w:val="auto"/>
        </w:rPr>
      </w:pPr>
    </w:p>
    <w:p>
      <w:pPr>
        <w:spacing w:after="0" w:line="280" w:lineRule="exact"/>
        <w:rPr>
          <w:rFonts w:ascii="Arial" w:cs="Arial" w:eastAsia="Arial" w:hAnsi="Arial"/>
          <w:sz w:val="22"/>
          <w:szCs w:val="22"/>
          <w:color w:val="auto"/>
        </w:rPr>
      </w:pPr>
    </w:p>
    <w:p>
      <w:pPr>
        <w:jc w:val="both"/>
        <w:ind w:left="400" w:hanging="1"/>
        <w:spacing w:after="0" w:line="285" w:lineRule="auto"/>
        <w:tabs>
          <w:tab w:leader="none" w:pos="672" w:val="left"/>
        </w:tabs>
        <w:numPr>
          <w:ilvl w:val="0"/>
          <w:numId w:val="15"/>
        </w:numPr>
        <w:rPr>
          <w:rFonts w:ascii="Arial" w:cs="Arial" w:eastAsia="Arial" w:hAnsi="Arial"/>
          <w:sz w:val="22"/>
          <w:szCs w:val="22"/>
          <w:color w:val="auto"/>
        </w:rPr>
      </w:pPr>
      <w:r>
        <w:rPr>
          <w:rFonts w:ascii="Arial" w:cs="Arial" w:eastAsia="Arial" w:hAnsi="Arial"/>
          <w:sz w:val="22"/>
          <w:szCs w:val="22"/>
          <w:color w:val="auto"/>
        </w:rPr>
        <w:t>Certificado bancario donde se haga constar los importes y la efectiva relación entre los gastos financieros y el pago de los gastos subvencionables, así como los documentos de liquidación de las operaciones bancarias de liquidación de intereses, comisiones, etc. y extracto de movimientos que justifiquen los gastos financieros y su vinculación al efectivo pago de los gastos subvencionados la presente Resolución de concesión de subvención.</w:t>
      </w:r>
    </w:p>
    <w:p>
      <w:pPr>
        <w:spacing w:after="0" w:line="200" w:lineRule="exact"/>
        <w:rPr>
          <w:sz w:val="20"/>
          <w:szCs w:val="20"/>
          <w:color w:val="auto"/>
        </w:rPr>
      </w:pPr>
    </w:p>
    <w:p>
      <w:pPr>
        <w:spacing w:after="0" w:line="284" w:lineRule="exact"/>
        <w:rPr>
          <w:sz w:val="20"/>
          <w:szCs w:val="20"/>
          <w:color w:val="auto"/>
        </w:rPr>
      </w:pPr>
    </w:p>
    <w:p>
      <w:pPr>
        <w:ind w:left="400"/>
        <w:spacing w:after="0"/>
        <w:rPr>
          <w:sz w:val="20"/>
          <w:szCs w:val="20"/>
          <w:color w:val="auto"/>
        </w:rPr>
      </w:pPr>
      <w:r>
        <w:rPr>
          <w:rFonts w:ascii="Arial" w:cs="Arial" w:eastAsia="Arial" w:hAnsi="Arial"/>
          <w:sz w:val="22"/>
          <w:szCs w:val="22"/>
          <w:color w:val="auto"/>
        </w:rPr>
        <w:t>C) Justificación de ingresos/aportaciones:</w:t>
      </w:r>
    </w:p>
    <w:p>
      <w:pPr>
        <w:spacing w:after="0" w:line="200" w:lineRule="exact"/>
        <w:rPr>
          <w:sz w:val="20"/>
          <w:szCs w:val="20"/>
          <w:color w:val="auto"/>
        </w:rPr>
      </w:pPr>
    </w:p>
    <w:p>
      <w:pPr>
        <w:spacing w:after="0" w:line="369" w:lineRule="exact"/>
        <w:rPr>
          <w:sz w:val="20"/>
          <w:szCs w:val="20"/>
          <w:color w:val="auto"/>
        </w:rPr>
      </w:pPr>
    </w:p>
    <w:p>
      <w:pPr>
        <w:jc w:val="both"/>
        <w:ind w:left="400" w:firstLine="3"/>
        <w:spacing w:after="0" w:line="288" w:lineRule="auto"/>
        <w:tabs>
          <w:tab w:leader="none" w:pos="706" w:val="left"/>
        </w:tabs>
        <w:numPr>
          <w:ilvl w:val="0"/>
          <w:numId w:val="16"/>
        </w:numPr>
        <w:rPr>
          <w:rFonts w:ascii="Arial" w:cs="Arial" w:eastAsia="Arial" w:hAnsi="Arial"/>
          <w:sz w:val="22"/>
          <w:szCs w:val="22"/>
          <w:color w:val="auto"/>
        </w:rPr>
      </w:pPr>
      <w:r>
        <w:rPr>
          <w:rFonts w:ascii="Arial" w:cs="Arial" w:eastAsia="Arial" w:hAnsi="Arial"/>
          <w:sz w:val="22"/>
          <w:szCs w:val="22"/>
          <w:color w:val="auto"/>
        </w:rPr>
        <w:t>Las aportaciones de los usuarios del servicio de promoción de autonomía personal deberán acreditarse mediante copia compulsada del comprobante de ingreso en cuenta bancaria que permita identificar la titularidad de la cuenta así como los datos del usuario, el importe el concepto de a qué corresponde el ingreso (mensualidad,…).</w:t>
      </w:r>
    </w:p>
    <w:p>
      <w:pPr>
        <w:spacing w:after="0" w:line="69" w:lineRule="exact"/>
        <w:rPr>
          <w:rFonts w:ascii="Arial" w:cs="Arial" w:eastAsia="Arial" w:hAnsi="Arial"/>
          <w:sz w:val="22"/>
          <w:szCs w:val="22"/>
          <w:color w:val="auto"/>
        </w:rPr>
      </w:pPr>
    </w:p>
    <w:p>
      <w:pPr>
        <w:jc w:val="both"/>
        <w:ind w:left="400" w:hanging="1"/>
        <w:spacing w:after="0" w:line="283" w:lineRule="auto"/>
        <w:tabs>
          <w:tab w:leader="none" w:pos="715" w:val="left"/>
        </w:tabs>
        <w:numPr>
          <w:ilvl w:val="0"/>
          <w:numId w:val="16"/>
        </w:numPr>
        <w:rPr>
          <w:rFonts w:ascii="Arial" w:cs="Arial" w:eastAsia="Arial" w:hAnsi="Arial"/>
          <w:sz w:val="22"/>
          <w:szCs w:val="22"/>
          <w:color w:val="auto"/>
        </w:rPr>
      </w:pPr>
      <w:r>
        <w:rPr>
          <w:rFonts w:ascii="Arial" w:cs="Arial" w:eastAsia="Arial" w:hAnsi="Arial"/>
          <w:sz w:val="22"/>
          <w:szCs w:val="22"/>
          <w:color w:val="auto"/>
        </w:rPr>
        <w:t>Si se percibiesen otras ayudas, subvenciones, ingresos o recursos, procedente de cualesquiera 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 entidad beneficiaria, de la concedente, la fecha, el concepto y el importe, así</w:t>
      </w:r>
    </w:p>
    <w:p>
      <w:pPr>
        <w:spacing w:after="0" w:line="252"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18</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340"/>
          </w:cols>
          <w:pgMar w:left="14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552" w:right="1126" w:bottom="0" w:gutter="0" w:footer="0" w:header="0"/>
          <w:type w:val="continuous"/>
        </w:sectPr>
      </w:pPr>
    </w:p>
    <w:bookmarkStart w:id="18" w:name="page19"/>
    <w:bookmarkEnd w:id="18"/>
    <w:p>
      <w:pPr>
        <w:ind w:left="700"/>
        <w:spacing w:after="0" w:line="276" w:lineRule="auto"/>
        <w:rPr>
          <w:sz w:val="20"/>
          <w:szCs w:val="20"/>
          <w:color w:val="auto"/>
        </w:rPr>
      </w:pPr>
      <w:r>
        <w:rPr>
          <w:rFonts w:ascii="Arial" w:cs="Arial" w:eastAsia="Arial" w:hAnsi="Arial"/>
          <w:sz w:val="22"/>
          <w:szCs w:val="22"/>
          <w:color w:val="auto"/>
        </w:rPr>
        <w:t>como cualquier otro dato necesario para la comprobación de la procedencia de los mismos.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2" w:lineRule="exact"/>
        <w:rPr>
          <w:sz w:val="20"/>
          <w:szCs w:val="20"/>
          <w:color w:val="auto"/>
        </w:rPr>
      </w:pPr>
    </w:p>
    <w:p>
      <w:pPr>
        <w:jc w:val="both"/>
        <w:spacing w:after="0" w:line="252" w:lineRule="auto"/>
        <w:rPr>
          <w:sz w:val="20"/>
          <w:szCs w:val="20"/>
          <w:color w:val="auto"/>
        </w:rPr>
      </w:pPr>
      <w:r>
        <w:rPr>
          <w:rFonts w:ascii="Arial" w:cs="Arial" w:eastAsia="Arial" w:hAnsi="Arial"/>
          <w:sz w:val="22"/>
          <w:szCs w:val="22"/>
          <w:color w:val="auto"/>
        </w:rPr>
        <w:t>La documentación justificativa deberá remitirse en formato digital, correctamente escaneada y siendo visible el estampillado de los justificantes que así se requiera en la presente cláusula. No se presentarán en formato digital los anexos I, II, III y IV. En cualquier caso, el órgano concedente podrá requerir la presentación de la documentación original cuando lo considerase necesario.</w:t>
      </w:r>
    </w:p>
    <w:p>
      <w:pPr>
        <w:spacing w:after="0" w:line="202" w:lineRule="exact"/>
        <w:rPr>
          <w:sz w:val="20"/>
          <w:szCs w:val="20"/>
          <w:color w:val="auto"/>
        </w:rPr>
      </w:pPr>
    </w:p>
    <w:p>
      <w:pPr>
        <w:jc w:val="both"/>
        <w:spacing w:after="0" w:line="246" w:lineRule="auto"/>
        <w:rPr>
          <w:sz w:val="20"/>
          <w:szCs w:val="20"/>
          <w:color w:val="auto"/>
        </w:rPr>
      </w:pPr>
      <w:r>
        <w:rPr>
          <w:rFonts w:ascii="Arial" w:cs="Arial" w:eastAsia="Arial" w:hAnsi="Arial"/>
          <w:sz w:val="22"/>
          <w:szCs w:val="22"/>
          <w:color w:val="auto"/>
        </w:rPr>
        <w:t>A estos efectos, para el ejercicio de la función de control financiero de la subvención concedida, La Asociación de Familiares de Enfermos de Alzheimer y otras demencias de La Palma (AFA La Palma) tendrá a disposición del Excmo. Cabildo Insular de La Palma, a partir del día siguiente a la finalización del plazo para presentar la correspondiente justificación a esta subvención, la documentación justificativa del coste total de la gestión del servicio, así como de los ingresos/aportaciones que financiaron el coste total, pudiendo solicitarse por parte de esta Corporación Insular su presentación en cualquier momento.</w:t>
      </w:r>
    </w:p>
    <w:p>
      <w:pPr>
        <w:spacing w:after="0" w:line="209" w:lineRule="exact"/>
        <w:rPr>
          <w:sz w:val="20"/>
          <w:szCs w:val="20"/>
          <w:color w:val="auto"/>
        </w:rPr>
      </w:pPr>
    </w:p>
    <w:p>
      <w:pPr>
        <w:jc w:val="both"/>
        <w:spacing w:after="0" w:line="283" w:lineRule="auto"/>
        <w:rPr>
          <w:sz w:val="20"/>
          <w:szCs w:val="20"/>
          <w:color w:val="auto"/>
        </w:rPr>
      </w:pPr>
      <w:r>
        <w:rPr>
          <w:rFonts w:ascii="Arial" w:cs="Arial" w:eastAsia="Arial" w:hAnsi="Arial"/>
          <w:sz w:val="22"/>
          <w:szCs w:val="22"/>
          <w:color w:val="auto"/>
        </w:rPr>
        <w:t>En base a lo estipulado en el artículo 73.2 del Real Decreto 887/2006, de 21 de julio, por el que se aprueba el Reglamento que desarrolla la Ley 38/2003, de 17 de noviembre, General de Subvenciones, los justificantes de gasto (nóminas, TC1, TC2, Modelo 111, Modelo 115, facturas, etc.) serán marcados por la entidad beneficiaria antes de su presentación ante el Excmo. Cabildo Insular de La Palma con una estampilla que permita el control de la concurrencia de subvenciones. El texto de este estampillado será el siguiente:</w:t>
      </w:r>
    </w:p>
    <w:p>
      <w:pPr>
        <w:spacing w:after="0" w:line="200" w:lineRule="exact"/>
        <w:rPr>
          <w:sz w:val="20"/>
          <w:szCs w:val="20"/>
          <w:color w:val="auto"/>
        </w:rPr>
      </w:pPr>
    </w:p>
    <w:p>
      <w:pPr>
        <w:spacing w:after="0" w:line="209" w:lineRule="exact"/>
        <w:rPr>
          <w:sz w:val="20"/>
          <w:szCs w:val="20"/>
          <w:color w:val="auto"/>
        </w:rPr>
      </w:pPr>
    </w:p>
    <w:p>
      <w:pPr>
        <w:spacing w:after="0"/>
        <w:rPr>
          <w:sz w:val="20"/>
          <w:szCs w:val="20"/>
          <w:color w:val="auto"/>
        </w:rPr>
      </w:pPr>
      <w:r>
        <w:rPr>
          <w:rFonts w:ascii="Arial" w:cs="Arial" w:eastAsia="Arial" w:hAnsi="Arial"/>
          <w:sz w:val="22"/>
          <w:szCs w:val="22"/>
          <w:color w:val="auto"/>
        </w:rPr>
        <w:t>“Este documento sirve de justificante parcial/total, por importe de ______ €, de la subvención</w:t>
      </w:r>
    </w:p>
    <w:p>
      <w:pPr>
        <w:spacing w:after="0" w:line="22" w:lineRule="exact"/>
        <w:rPr>
          <w:sz w:val="20"/>
          <w:szCs w:val="20"/>
          <w:color w:val="auto"/>
        </w:rPr>
      </w:pPr>
    </w:p>
    <w:p>
      <w:pPr>
        <w:spacing w:after="0"/>
        <w:rPr>
          <w:sz w:val="20"/>
          <w:szCs w:val="20"/>
          <w:color w:val="auto"/>
        </w:rPr>
      </w:pPr>
      <w:r>
        <w:rPr>
          <w:rFonts w:ascii="Arial" w:cs="Arial" w:eastAsia="Arial" w:hAnsi="Arial"/>
          <w:sz w:val="22"/>
          <w:szCs w:val="22"/>
          <w:color w:val="auto"/>
        </w:rPr>
        <w:t>concedida por el Excmo. Cabildo de La Palma por importe de ______ € para el proyecto</w:t>
      </w:r>
    </w:p>
    <w:p>
      <w:pPr>
        <w:spacing w:after="0"/>
        <w:rPr>
          <w:sz w:val="20"/>
          <w:szCs w:val="20"/>
          <w:color w:val="auto"/>
        </w:rPr>
      </w:pPr>
      <w:r>
        <w:rPr>
          <w:rFonts w:ascii="Arial" w:cs="Arial" w:eastAsia="Arial" w:hAnsi="Arial"/>
          <w:sz w:val="22"/>
          <w:szCs w:val="22"/>
          <w:color w:val="auto"/>
        </w:rPr>
        <w:t>________”</w:t>
      </w:r>
    </w:p>
    <w:p>
      <w:pPr>
        <w:spacing w:after="0" w:line="231" w:lineRule="exact"/>
        <w:rPr>
          <w:sz w:val="20"/>
          <w:szCs w:val="20"/>
          <w:color w:val="auto"/>
        </w:rPr>
      </w:pPr>
    </w:p>
    <w:p>
      <w:pPr>
        <w:spacing w:after="0"/>
        <w:rPr>
          <w:sz w:val="20"/>
          <w:szCs w:val="20"/>
          <w:color w:val="auto"/>
        </w:rPr>
      </w:pPr>
      <w:r>
        <w:rPr>
          <w:rFonts w:ascii="Arial" w:cs="Arial" w:eastAsia="Arial" w:hAnsi="Arial"/>
          <w:sz w:val="22"/>
          <w:szCs w:val="22"/>
          <w:color w:val="auto"/>
        </w:rPr>
        <w:t>DECIMOTERCERA.- VIGENCIA</w:t>
      </w:r>
    </w:p>
    <w:p>
      <w:pPr>
        <w:spacing w:after="0" w:line="200" w:lineRule="exact"/>
        <w:rPr>
          <w:sz w:val="20"/>
          <w:szCs w:val="20"/>
          <w:color w:val="auto"/>
        </w:rPr>
      </w:pPr>
    </w:p>
    <w:p>
      <w:pPr>
        <w:spacing w:after="0" w:line="291" w:lineRule="exact"/>
        <w:rPr>
          <w:sz w:val="20"/>
          <w:szCs w:val="20"/>
          <w:color w:val="auto"/>
        </w:rPr>
      </w:pPr>
    </w:p>
    <w:p>
      <w:pPr>
        <w:jc w:val="both"/>
        <w:spacing w:after="0" w:line="249" w:lineRule="auto"/>
        <w:rPr>
          <w:sz w:val="20"/>
          <w:szCs w:val="20"/>
          <w:color w:val="auto"/>
        </w:rPr>
      </w:pPr>
      <w:r>
        <w:rPr>
          <w:rFonts w:ascii="Arial" w:cs="Arial" w:eastAsia="Arial" w:hAnsi="Arial"/>
          <w:sz w:val="22"/>
          <w:szCs w:val="22"/>
          <w:color w:val="auto"/>
        </w:rPr>
        <w:t>La vigencia de la presente subvención producirá efectos desde el 01 de enero de 2020 hasta el 31 de diciembre de 2020, estando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w:t>
      </w:r>
    </w:p>
    <w:p>
      <w:pPr>
        <w:spacing w:after="0" w:line="206" w:lineRule="exact"/>
        <w:rPr>
          <w:sz w:val="20"/>
          <w:szCs w:val="20"/>
          <w:color w:val="auto"/>
        </w:rPr>
      </w:pPr>
    </w:p>
    <w:p>
      <w:pPr>
        <w:spacing w:after="0"/>
        <w:rPr>
          <w:sz w:val="20"/>
          <w:szCs w:val="20"/>
          <w:color w:val="auto"/>
        </w:rPr>
      </w:pPr>
      <w:r>
        <w:rPr>
          <w:rFonts w:ascii="Arial" w:cs="Arial" w:eastAsia="Arial" w:hAnsi="Arial"/>
          <w:sz w:val="22"/>
          <w:szCs w:val="22"/>
          <w:color w:val="auto"/>
        </w:rPr>
        <w:t>DECIMOCUARTA.- MODIFICACIÓN</w:t>
      </w:r>
    </w:p>
    <w:p>
      <w:pPr>
        <w:spacing w:after="0" w:line="253" w:lineRule="exact"/>
        <w:rPr>
          <w:sz w:val="20"/>
          <w:szCs w:val="20"/>
          <w:color w:val="auto"/>
        </w:rPr>
      </w:pPr>
    </w:p>
    <w:p>
      <w:pPr>
        <w:spacing w:after="0"/>
        <w:rPr>
          <w:sz w:val="20"/>
          <w:szCs w:val="20"/>
          <w:color w:val="auto"/>
        </w:rPr>
      </w:pPr>
      <w:r>
        <w:rPr>
          <w:rFonts w:ascii="Arial" w:cs="Arial" w:eastAsia="Arial" w:hAnsi="Arial"/>
          <w:sz w:val="22"/>
          <w:szCs w:val="22"/>
          <w:color w:val="auto"/>
        </w:rPr>
        <w:t>La Resolución de concesión se podrá modificar:</w:t>
      </w:r>
    </w:p>
    <w:p>
      <w:pPr>
        <w:spacing w:after="0" w:line="253" w:lineRule="exact"/>
        <w:rPr>
          <w:sz w:val="20"/>
          <w:szCs w:val="20"/>
          <w:color w:val="auto"/>
        </w:rPr>
      </w:pPr>
    </w:p>
    <w:p>
      <w:pPr>
        <w:jc w:val="both"/>
        <w:ind w:left="720" w:hanging="366"/>
        <w:spacing w:after="0" w:line="252" w:lineRule="auto"/>
        <w:tabs>
          <w:tab w:leader="none" w:pos="709" w:val="left"/>
        </w:tabs>
        <w:numPr>
          <w:ilvl w:val="0"/>
          <w:numId w:val="17"/>
        </w:numPr>
        <w:rPr>
          <w:rFonts w:ascii="Arial" w:cs="Arial" w:eastAsia="Arial" w:hAnsi="Arial"/>
          <w:sz w:val="22"/>
          <w:szCs w:val="22"/>
          <w:color w:val="auto"/>
        </w:rPr>
      </w:pPr>
      <w:r>
        <w:rPr>
          <w:rFonts w:ascii="Arial" w:cs="Arial" w:eastAsia="Arial" w:hAnsi="Arial"/>
          <w:sz w:val="22"/>
          <w:szCs w:val="22"/>
          <w:color w:val="auto"/>
        </w:rPr>
        <w:t>A iniciativa propia por parte de este Excmo. Cabildo Insular de La Palma, en consonancia, en su caso, con las posibles modificaciones del Convenio ratificado el 6 de agosto de 2018, por el período 2018-2021, suscrito con la Comunidad Autónoma para la prestación de servicios a personas en situación de Dependencia</w:t>
      </w:r>
    </w:p>
    <w:p>
      <w:pPr>
        <w:spacing w:after="0" w:line="202" w:lineRule="exact"/>
        <w:rPr>
          <w:rFonts w:ascii="Arial" w:cs="Arial" w:eastAsia="Arial" w:hAnsi="Arial"/>
          <w:sz w:val="22"/>
          <w:szCs w:val="22"/>
          <w:color w:val="auto"/>
        </w:rPr>
      </w:pPr>
    </w:p>
    <w:p>
      <w:pPr>
        <w:ind w:left="700" w:hanging="349"/>
        <w:spacing w:after="0" w:line="276" w:lineRule="auto"/>
        <w:tabs>
          <w:tab w:leader="none" w:pos="700" w:val="left"/>
        </w:tabs>
        <w:numPr>
          <w:ilvl w:val="0"/>
          <w:numId w:val="17"/>
        </w:numPr>
        <w:rPr>
          <w:rFonts w:ascii="Arial" w:cs="Arial" w:eastAsia="Arial" w:hAnsi="Arial"/>
          <w:sz w:val="22"/>
          <w:szCs w:val="22"/>
          <w:color w:val="auto"/>
        </w:rPr>
      </w:pPr>
      <w:r>
        <w:rPr>
          <w:rFonts w:ascii="Arial" w:cs="Arial" w:eastAsia="Arial" w:hAnsi="Arial"/>
          <w:sz w:val="22"/>
          <w:szCs w:val="22"/>
          <w:color w:val="auto"/>
        </w:rPr>
        <w:t>A solicitud de la entidad beneficiaria, siempre que en este último supuesto se cumplan los siguientes requisitos:</w:t>
      </w:r>
    </w:p>
    <w:p>
      <w:pPr>
        <w:spacing w:after="0" w:line="104" w:lineRule="exact"/>
        <w:rPr>
          <w:rFonts w:ascii="Arial" w:cs="Arial" w:eastAsia="Arial" w:hAnsi="Arial"/>
          <w:sz w:val="22"/>
          <w:szCs w:val="22"/>
          <w:color w:val="auto"/>
        </w:rPr>
      </w:pPr>
    </w:p>
    <w:p>
      <w:pPr>
        <w:jc w:val="both"/>
        <w:ind w:left="980" w:hanging="277"/>
        <w:spacing w:after="0" w:line="249" w:lineRule="auto"/>
        <w:tabs>
          <w:tab w:leader="none" w:pos="980" w:val="left"/>
        </w:tabs>
        <w:numPr>
          <w:ilvl w:val="1"/>
          <w:numId w:val="17"/>
        </w:numPr>
        <w:rPr>
          <w:rFonts w:ascii="Arial" w:cs="Arial" w:eastAsia="Arial" w:hAnsi="Arial"/>
          <w:sz w:val="22"/>
          <w:szCs w:val="22"/>
          <w:color w:val="auto"/>
        </w:rPr>
      </w:pPr>
      <w:r>
        <w:rPr>
          <w:rFonts w:ascii="Arial" w:cs="Arial" w:eastAsia="Arial" w:hAnsi="Arial"/>
          <w:sz w:val="22"/>
          <w:szCs w:val="22"/>
          <w:color w:val="auto"/>
        </w:rP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pPr>
        <w:spacing w:after="0" w:line="29"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19</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19" w:name="page20"/>
    <w:bookmarkEnd w:id="19"/>
    <w:p>
      <w:pPr>
        <w:jc w:val="both"/>
        <w:ind w:left="980" w:hanging="277"/>
        <w:spacing w:after="0" w:line="258"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La modificación es un supuesto excepcional en los procedimientos de concesión de subvenciones u otro tipo de ayudas, no pudiendo estar motivada en razones de oportunidad o conveniencia.</w:t>
      </w:r>
    </w:p>
    <w:p>
      <w:pPr>
        <w:spacing w:after="0" w:line="123" w:lineRule="exact"/>
        <w:rPr>
          <w:rFonts w:ascii="Arial" w:cs="Arial" w:eastAsia="Arial" w:hAnsi="Arial"/>
          <w:sz w:val="22"/>
          <w:szCs w:val="22"/>
          <w:color w:val="auto"/>
        </w:rPr>
      </w:pPr>
    </w:p>
    <w:p>
      <w:pPr>
        <w:ind w:left="980" w:hanging="277"/>
        <w:spacing w:after="0" w:line="276"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La causa que justifica la petición por el beneficiario no puede obedecer a culpa o negligencia por su parte.</w:t>
      </w:r>
    </w:p>
    <w:p>
      <w:pPr>
        <w:spacing w:after="0" w:line="104" w:lineRule="exact"/>
        <w:rPr>
          <w:rFonts w:ascii="Arial" w:cs="Arial" w:eastAsia="Arial" w:hAnsi="Arial"/>
          <w:sz w:val="22"/>
          <w:szCs w:val="22"/>
          <w:color w:val="auto"/>
        </w:rPr>
      </w:pPr>
    </w:p>
    <w:p>
      <w:pPr>
        <w:jc w:val="both"/>
        <w:ind w:left="980" w:hanging="277"/>
        <w:spacing w:after="0" w:line="258"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Las causas de fuerza mayor o el caso fortuito pueden considerarse como supuestos habilitantes para, en concurrencia con los otros criterios exigidos, acceder a la modificación.</w:t>
      </w:r>
    </w:p>
    <w:p>
      <w:pPr>
        <w:spacing w:after="0" w:line="123" w:lineRule="exact"/>
        <w:rPr>
          <w:rFonts w:ascii="Arial" w:cs="Arial" w:eastAsia="Arial" w:hAnsi="Arial"/>
          <w:sz w:val="22"/>
          <w:szCs w:val="22"/>
          <w:color w:val="auto"/>
        </w:rPr>
      </w:pPr>
    </w:p>
    <w:p>
      <w:pPr>
        <w:jc w:val="both"/>
        <w:ind w:left="980" w:hanging="277"/>
        <w:spacing w:after="0" w:line="258"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La comunicación del beneficiario de las causas que justifican la modificación solicitada de forma inmediata a su aparición y, en todo caso, con anterioridad a la finalización del plazo de ejecución.</w:t>
      </w:r>
    </w:p>
    <w:p>
      <w:pPr>
        <w:spacing w:after="0" w:line="123" w:lineRule="exact"/>
        <w:rPr>
          <w:rFonts w:ascii="Arial" w:cs="Arial" w:eastAsia="Arial" w:hAnsi="Arial"/>
          <w:sz w:val="22"/>
          <w:szCs w:val="22"/>
          <w:color w:val="auto"/>
        </w:rPr>
      </w:pPr>
    </w:p>
    <w:p>
      <w:pPr>
        <w:jc w:val="both"/>
        <w:ind w:left="980" w:hanging="277"/>
        <w:spacing w:after="0" w:line="258"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No caben modificaciones que supongan un aumento de la aportación global máxima para el Cabildo Insular de La Palma salvo en el supuesto contemplado en la cláusula sexta de esta Resolución de concesión.</w:t>
      </w:r>
    </w:p>
    <w:p>
      <w:pPr>
        <w:spacing w:after="0" w:line="123" w:lineRule="exact"/>
        <w:rPr>
          <w:rFonts w:ascii="Arial" w:cs="Arial" w:eastAsia="Arial" w:hAnsi="Arial"/>
          <w:sz w:val="22"/>
          <w:szCs w:val="22"/>
          <w:color w:val="auto"/>
        </w:rPr>
      </w:pPr>
    </w:p>
    <w:p>
      <w:pPr>
        <w:jc w:val="both"/>
        <w:ind w:left="980" w:hanging="277"/>
        <w:spacing w:after="0" w:line="247"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w:t>
      </w:r>
    </w:p>
    <w:p>
      <w:pPr>
        <w:spacing w:after="0" w:line="135" w:lineRule="exact"/>
        <w:rPr>
          <w:rFonts w:ascii="Arial" w:cs="Arial" w:eastAsia="Arial" w:hAnsi="Arial"/>
          <w:sz w:val="22"/>
          <w:szCs w:val="22"/>
          <w:color w:val="auto"/>
        </w:rPr>
      </w:pPr>
    </w:p>
    <w:p>
      <w:pPr>
        <w:jc w:val="both"/>
        <w:ind w:left="980" w:hanging="277"/>
        <w:spacing w:after="0" w:line="249"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w:t>
      </w:r>
    </w:p>
    <w:p>
      <w:pPr>
        <w:spacing w:after="0" w:line="132" w:lineRule="exact"/>
        <w:rPr>
          <w:rFonts w:ascii="Arial" w:cs="Arial" w:eastAsia="Arial" w:hAnsi="Arial"/>
          <w:sz w:val="22"/>
          <w:szCs w:val="22"/>
          <w:color w:val="auto"/>
        </w:rPr>
      </w:pPr>
    </w:p>
    <w:p>
      <w:pPr>
        <w:ind w:left="980" w:hanging="277"/>
        <w:spacing w:after="0" w:line="276" w:lineRule="auto"/>
        <w:tabs>
          <w:tab w:leader="none" w:pos="980" w:val="left"/>
        </w:tabs>
        <w:numPr>
          <w:ilvl w:val="0"/>
          <w:numId w:val="18"/>
        </w:numPr>
        <w:rPr>
          <w:rFonts w:ascii="Arial" w:cs="Arial" w:eastAsia="Arial" w:hAnsi="Arial"/>
          <w:sz w:val="22"/>
          <w:szCs w:val="22"/>
          <w:color w:val="auto"/>
        </w:rPr>
      </w:pPr>
      <w:r>
        <w:rPr>
          <w:rFonts w:ascii="Arial" w:cs="Arial" w:eastAsia="Arial" w:hAnsi="Arial"/>
          <w:sz w:val="22"/>
          <w:szCs w:val="22"/>
          <w:color w:val="auto"/>
        </w:rPr>
        <w:t>Se debe analizar en la solicitud de modificación la garantía o aseguramiento del cumplimiento futuro.</w:t>
      </w:r>
    </w:p>
    <w:p>
      <w:pPr>
        <w:spacing w:after="0" w:line="164" w:lineRule="exact"/>
        <w:rPr>
          <w:sz w:val="20"/>
          <w:szCs w:val="20"/>
          <w:color w:val="auto"/>
        </w:rPr>
      </w:pPr>
    </w:p>
    <w:p>
      <w:pPr>
        <w:jc w:val="both"/>
        <w:spacing w:after="0" w:line="276" w:lineRule="auto"/>
        <w:rPr>
          <w:sz w:val="20"/>
          <w:szCs w:val="20"/>
          <w:color w:val="auto"/>
        </w:rPr>
      </w:pPr>
      <w:r>
        <w:rPr>
          <w:rFonts w:ascii="Arial" w:cs="Arial" w:eastAsia="Arial" w:hAnsi="Arial"/>
          <w:sz w:val="22"/>
          <w:szCs w:val="22"/>
          <w:color w:val="auto"/>
        </w:rPr>
        <w:t>Corresponderá al titular de la Consejería de Servicios Sociales, previo informe de la Jefa de Servicio, la estimación o, en su caso, desestimación de las solicitudes de modificación.</w:t>
      </w:r>
    </w:p>
    <w:p>
      <w:pPr>
        <w:spacing w:after="0" w:line="177" w:lineRule="exact"/>
        <w:rPr>
          <w:sz w:val="20"/>
          <w:szCs w:val="20"/>
          <w:color w:val="auto"/>
        </w:rPr>
      </w:pPr>
    </w:p>
    <w:p>
      <w:pPr>
        <w:spacing w:after="0"/>
        <w:rPr>
          <w:sz w:val="20"/>
          <w:szCs w:val="20"/>
          <w:color w:val="auto"/>
        </w:rPr>
      </w:pPr>
      <w:r>
        <w:rPr>
          <w:rFonts w:ascii="Arial" w:cs="Arial" w:eastAsia="Arial" w:hAnsi="Arial"/>
          <w:sz w:val="22"/>
          <w:szCs w:val="22"/>
          <w:color w:val="auto"/>
        </w:rPr>
        <w:t>DECIMOQUINTA.- COMISIÓN PARITARIA</w:t>
      </w:r>
    </w:p>
    <w:p>
      <w:pPr>
        <w:spacing w:after="0" w:line="200" w:lineRule="exact"/>
        <w:rPr>
          <w:sz w:val="20"/>
          <w:szCs w:val="20"/>
          <w:color w:val="auto"/>
        </w:rPr>
      </w:pPr>
    </w:p>
    <w:p>
      <w:pPr>
        <w:spacing w:after="0" w:line="291"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Se creará una comisión formada por dos representantes del Excmo. Cabildo Insular de La Palma y dos de La Asociación de Familiares de Enfermos de Alzheimer y otras demencias de La Palma (AFA La Palma) que tendrá entre sus funciones el seguimiento, vigilancia y control de la ejecución de la subvención y, más concretamente, resolver los problemas relativos al cumplimiento que puedan plantearse respecto a la subvención.</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both"/>
        <w:spacing w:after="0" w:line="288" w:lineRule="auto"/>
        <w:rPr>
          <w:sz w:val="20"/>
          <w:szCs w:val="20"/>
          <w:color w:val="auto"/>
        </w:rPr>
      </w:pPr>
      <w:r>
        <w:rPr>
          <w:rFonts w:ascii="Arial" w:cs="Arial" w:eastAsia="Arial" w:hAnsi="Arial"/>
          <w:sz w:val="22"/>
          <w:szCs w:val="22"/>
          <w:color w:val="auto"/>
        </w:rPr>
        <w:t>Los representantes del Cabildo Insular serán designados por la persona titular de la Consejería de Servicios Sociales quien a su vez designará a la Presidencia y la Secretaría de dicha Comisión. El/la presidente/a de la Comisión decidirá, en el caso de votaciones, el resultado de empate con voto de calidad.</w:t>
      </w:r>
    </w:p>
    <w:p>
      <w:pPr>
        <w:spacing w:after="0" w:line="200" w:lineRule="exact"/>
        <w:rPr>
          <w:sz w:val="20"/>
          <w:szCs w:val="20"/>
          <w:color w:val="auto"/>
        </w:rPr>
      </w:pPr>
    </w:p>
    <w:p>
      <w:pPr>
        <w:spacing w:after="0" w:line="202" w:lineRule="exact"/>
        <w:rPr>
          <w:sz w:val="20"/>
          <w:szCs w:val="20"/>
          <w:color w:val="auto"/>
        </w:rPr>
      </w:pPr>
    </w:p>
    <w:p>
      <w:pPr>
        <w:spacing w:after="0"/>
        <w:rPr>
          <w:sz w:val="20"/>
          <w:szCs w:val="20"/>
          <w:color w:val="auto"/>
        </w:rPr>
      </w:pPr>
      <w:r>
        <w:rPr>
          <w:rFonts w:ascii="Arial" w:cs="Arial" w:eastAsia="Arial" w:hAnsi="Arial"/>
          <w:sz w:val="22"/>
          <w:szCs w:val="22"/>
          <w:color w:val="auto"/>
        </w:rPr>
        <w:t>DECIMOSEXTA.- RESOLUCIÓN</w:t>
      </w:r>
    </w:p>
    <w:p>
      <w:pPr>
        <w:spacing w:after="0" w:line="200" w:lineRule="exact"/>
        <w:rPr>
          <w:sz w:val="20"/>
          <w:szCs w:val="20"/>
          <w:color w:val="auto"/>
        </w:rPr>
      </w:pPr>
    </w:p>
    <w:p>
      <w:pPr>
        <w:spacing w:after="0" w:line="210"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20</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0" w:name="page21"/>
    <w:bookmarkEnd w:id="20"/>
    <w:p>
      <w:pPr>
        <w:spacing w:after="0"/>
        <w:rPr>
          <w:sz w:val="20"/>
          <w:szCs w:val="20"/>
          <w:color w:val="auto"/>
        </w:rPr>
      </w:pPr>
      <w:r>
        <w:rPr>
          <w:rFonts w:ascii="Arial" w:cs="Arial" w:eastAsia="Arial" w:hAnsi="Arial"/>
          <w:sz w:val="22"/>
          <w:szCs w:val="22"/>
          <w:color w:val="auto"/>
        </w:rPr>
        <w:t>La subvención podrá resolverse por las siguientes causas:</w:t>
      </w:r>
    </w:p>
    <w:p>
      <w:pPr>
        <w:spacing w:after="0" w:line="333" w:lineRule="exact"/>
        <w:rPr>
          <w:sz w:val="20"/>
          <w:szCs w:val="20"/>
          <w:color w:val="auto"/>
        </w:rPr>
      </w:pPr>
    </w:p>
    <w:p>
      <w:pPr>
        <w:ind w:left="1060" w:hanging="358"/>
        <w:spacing w:after="0"/>
        <w:tabs>
          <w:tab w:leader="none" w:pos="1060" w:val="left"/>
        </w:tabs>
        <w:numPr>
          <w:ilvl w:val="0"/>
          <w:numId w:val="19"/>
        </w:numPr>
        <w:rPr>
          <w:rFonts w:ascii="Arial" w:cs="Arial" w:eastAsia="Arial" w:hAnsi="Arial"/>
          <w:sz w:val="22"/>
          <w:szCs w:val="22"/>
          <w:color w:val="auto"/>
        </w:rPr>
      </w:pPr>
      <w:r>
        <w:rPr>
          <w:rFonts w:ascii="Arial" w:cs="Arial" w:eastAsia="Arial" w:hAnsi="Arial"/>
          <w:sz w:val="22"/>
          <w:szCs w:val="22"/>
          <w:color w:val="auto"/>
        </w:rPr>
        <w:t>Por mutuo acuerdo de las partes.</w:t>
      </w:r>
    </w:p>
    <w:p>
      <w:pPr>
        <w:spacing w:after="0" w:line="120" w:lineRule="exact"/>
        <w:rPr>
          <w:rFonts w:ascii="Arial" w:cs="Arial" w:eastAsia="Arial" w:hAnsi="Arial"/>
          <w:sz w:val="22"/>
          <w:szCs w:val="22"/>
          <w:color w:val="auto"/>
        </w:rPr>
      </w:pPr>
    </w:p>
    <w:p>
      <w:pPr>
        <w:ind w:left="1060" w:hanging="358"/>
        <w:spacing w:after="0"/>
        <w:tabs>
          <w:tab w:leader="none" w:pos="1060" w:val="left"/>
        </w:tabs>
        <w:numPr>
          <w:ilvl w:val="0"/>
          <w:numId w:val="19"/>
        </w:numPr>
        <w:rPr>
          <w:rFonts w:ascii="Arial" w:cs="Arial" w:eastAsia="Arial" w:hAnsi="Arial"/>
          <w:sz w:val="22"/>
          <w:szCs w:val="22"/>
          <w:color w:val="auto"/>
        </w:rPr>
      </w:pPr>
      <w:r>
        <w:rPr>
          <w:rFonts w:ascii="Arial" w:cs="Arial" w:eastAsia="Arial" w:hAnsi="Arial"/>
          <w:sz w:val="22"/>
          <w:szCs w:val="22"/>
          <w:color w:val="auto"/>
        </w:rPr>
        <w:t>Incumplimiento acreditado por una de las partes de cualquiera de sus estipulaciones.</w:t>
      </w:r>
    </w:p>
    <w:p>
      <w:pPr>
        <w:spacing w:after="0" w:line="120" w:lineRule="exact"/>
        <w:rPr>
          <w:rFonts w:ascii="Arial" w:cs="Arial" w:eastAsia="Arial" w:hAnsi="Arial"/>
          <w:sz w:val="22"/>
          <w:szCs w:val="22"/>
          <w:color w:val="auto"/>
        </w:rPr>
      </w:pPr>
    </w:p>
    <w:p>
      <w:pPr>
        <w:ind w:left="1060" w:hanging="358"/>
        <w:spacing w:after="0"/>
        <w:tabs>
          <w:tab w:leader="none" w:pos="1060" w:val="left"/>
        </w:tabs>
        <w:numPr>
          <w:ilvl w:val="0"/>
          <w:numId w:val="19"/>
        </w:numPr>
        <w:rPr>
          <w:rFonts w:ascii="Arial" w:cs="Arial" w:eastAsia="Arial" w:hAnsi="Arial"/>
          <w:sz w:val="22"/>
          <w:szCs w:val="22"/>
          <w:color w:val="auto"/>
        </w:rPr>
      </w:pPr>
      <w:r>
        <w:rPr>
          <w:rFonts w:ascii="Arial" w:cs="Arial" w:eastAsia="Arial" w:hAnsi="Arial"/>
          <w:sz w:val="22"/>
          <w:szCs w:val="22"/>
          <w:color w:val="auto"/>
        </w:rPr>
        <w:t>La falta o merma de la calidad en los servicios.</w:t>
      </w:r>
    </w:p>
    <w:p>
      <w:pPr>
        <w:spacing w:after="0" w:line="120" w:lineRule="exact"/>
        <w:rPr>
          <w:rFonts w:ascii="Arial" w:cs="Arial" w:eastAsia="Arial" w:hAnsi="Arial"/>
          <w:sz w:val="22"/>
          <w:szCs w:val="22"/>
          <w:color w:val="auto"/>
        </w:rPr>
      </w:pPr>
    </w:p>
    <w:p>
      <w:pPr>
        <w:ind w:left="1060" w:hanging="358"/>
        <w:spacing w:after="0" w:line="276" w:lineRule="auto"/>
        <w:tabs>
          <w:tab w:leader="none" w:pos="1060" w:val="left"/>
        </w:tabs>
        <w:numPr>
          <w:ilvl w:val="0"/>
          <w:numId w:val="19"/>
        </w:numPr>
        <w:rPr>
          <w:rFonts w:ascii="Arial" w:cs="Arial" w:eastAsia="Arial" w:hAnsi="Arial"/>
          <w:sz w:val="22"/>
          <w:szCs w:val="22"/>
          <w:color w:val="auto"/>
        </w:rPr>
      </w:pPr>
      <w:r>
        <w:rPr>
          <w:rFonts w:ascii="Arial" w:cs="Arial" w:eastAsia="Arial" w:hAnsi="Arial"/>
          <w:sz w:val="22"/>
          <w:szCs w:val="22"/>
          <w:color w:val="auto"/>
        </w:rPr>
        <w:t>Incumplir las obligaciones que impone la normativa vigente respecto al ejercicio de las tareas y actividades de atención a los usuarios de dicho servicio.</w:t>
      </w:r>
    </w:p>
    <w:p>
      <w:pPr>
        <w:spacing w:after="0" w:line="44" w:lineRule="exact"/>
        <w:rPr>
          <w:rFonts w:ascii="Arial" w:cs="Arial" w:eastAsia="Arial" w:hAnsi="Arial"/>
          <w:sz w:val="22"/>
          <w:szCs w:val="22"/>
          <w:color w:val="auto"/>
        </w:rPr>
      </w:pPr>
    </w:p>
    <w:p>
      <w:pPr>
        <w:ind w:left="1060" w:hanging="358"/>
        <w:spacing w:after="0" w:line="276" w:lineRule="auto"/>
        <w:tabs>
          <w:tab w:leader="none" w:pos="1060" w:val="left"/>
        </w:tabs>
        <w:numPr>
          <w:ilvl w:val="0"/>
          <w:numId w:val="19"/>
        </w:numPr>
        <w:rPr>
          <w:rFonts w:ascii="Arial" w:cs="Arial" w:eastAsia="Arial" w:hAnsi="Arial"/>
          <w:sz w:val="22"/>
          <w:szCs w:val="22"/>
          <w:color w:val="auto"/>
        </w:rPr>
      </w:pPr>
      <w:r>
        <w:rPr>
          <w:rFonts w:ascii="Arial" w:cs="Arial" w:eastAsia="Arial" w:hAnsi="Arial"/>
          <w:sz w:val="22"/>
          <w:szCs w:val="22"/>
          <w:color w:val="auto"/>
        </w:rPr>
        <w:t>La obstaculización para la comprobación, vigilancia y requerimiento por parte de los servicios correspondientes del Cabildo Insular de La Palma.</w:t>
      </w:r>
    </w:p>
    <w:p>
      <w:pPr>
        <w:spacing w:after="0" w:line="44" w:lineRule="exact"/>
        <w:rPr>
          <w:rFonts w:ascii="Arial" w:cs="Arial" w:eastAsia="Arial" w:hAnsi="Arial"/>
          <w:sz w:val="22"/>
          <w:szCs w:val="22"/>
          <w:color w:val="auto"/>
        </w:rPr>
      </w:pPr>
    </w:p>
    <w:p>
      <w:pPr>
        <w:ind w:left="1060" w:hanging="358"/>
        <w:spacing w:after="0"/>
        <w:tabs>
          <w:tab w:leader="none" w:pos="1060" w:val="left"/>
        </w:tabs>
        <w:numPr>
          <w:ilvl w:val="0"/>
          <w:numId w:val="19"/>
        </w:numPr>
        <w:rPr>
          <w:rFonts w:ascii="Arial" w:cs="Arial" w:eastAsia="Arial" w:hAnsi="Arial"/>
          <w:sz w:val="22"/>
          <w:szCs w:val="22"/>
          <w:color w:val="auto"/>
        </w:rPr>
      </w:pPr>
      <w:r>
        <w:rPr>
          <w:rFonts w:ascii="Arial" w:cs="Arial" w:eastAsia="Arial" w:hAnsi="Arial"/>
          <w:sz w:val="22"/>
          <w:szCs w:val="22"/>
          <w:color w:val="auto"/>
        </w:rPr>
        <w:t>Por cualquiera de las causas previstas legalmente.</w:t>
      </w:r>
    </w:p>
    <w:p>
      <w:pPr>
        <w:spacing w:after="0" w:line="200" w:lineRule="exact"/>
        <w:rPr>
          <w:sz w:val="20"/>
          <w:szCs w:val="20"/>
          <w:color w:val="auto"/>
        </w:rPr>
      </w:pPr>
    </w:p>
    <w:p>
      <w:pPr>
        <w:spacing w:after="0" w:line="291" w:lineRule="exact"/>
        <w:rPr>
          <w:sz w:val="20"/>
          <w:szCs w:val="20"/>
          <w:color w:val="auto"/>
        </w:rPr>
      </w:pPr>
    </w:p>
    <w:p>
      <w:pPr>
        <w:spacing w:after="0"/>
        <w:rPr>
          <w:sz w:val="20"/>
          <w:szCs w:val="20"/>
          <w:color w:val="auto"/>
        </w:rPr>
      </w:pPr>
      <w:r>
        <w:rPr>
          <w:rFonts w:ascii="Arial" w:cs="Arial" w:eastAsia="Arial" w:hAnsi="Arial"/>
          <w:sz w:val="22"/>
          <w:szCs w:val="22"/>
          <w:color w:val="auto"/>
        </w:rPr>
        <w:t>DECIMOSÉPTIMA.- INCUMPLIMIENTO Y REINTEGRO</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El incumplimiento de las cláusulas de la subvención por alguna de las partes dará lugar a la resolución de la mismo. La parte afectada por el incumplimiento deberá justificar de manera motivada dicho incumplimiento y solicitar expresamente la resolución de la subvención.</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spacing w:after="0" w:line="294" w:lineRule="auto"/>
        <w:rPr>
          <w:sz w:val="20"/>
          <w:szCs w:val="20"/>
          <w:color w:val="auto"/>
        </w:rPr>
      </w:pPr>
      <w:r>
        <w:rPr>
          <w:rFonts w:ascii="Arial" w:cs="Arial" w:eastAsia="Arial" w:hAnsi="Arial"/>
          <w:sz w:val="22"/>
          <w:szCs w:val="22"/>
          <w:color w:val="auto"/>
        </w:rPr>
        <w:t>Procederá el reintegro de las cantidades percibidas, así como la exigencia del interés de demora desde el momento del pago de la subvención, en los supuestos contemplados en la ley 38/2003, de 17 de noviembre, General de Subvenciones.</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both"/>
        <w:spacing w:after="0" w:line="288" w:lineRule="auto"/>
        <w:rPr>
          <w:sz w:val="20"/>
          <w:szCs w:val="20"/>
          <w:color w:val="auto"/>
        </w:rPr>
      </w:pPr>
      <w:r>
        <w:rPr>
          <w:rFonts w:ascii="Arial" w:cs="Arial" w:eastAsia="Arial" w:hAnsi="Arial"/>
          <w:sz w:val="22"/>
          <w:szCs w:val="22"/>
          <w:color w:val="auto"/>
        </w:rPr>
        <w:t>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General del Excmo. Cabildo Insular de La Palma.</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spacing w:after="0"/>
        <w:rPr>
          <w:sz w:val="20"/>
          <w:szCs w:val="20"/>
          <w:color w:val="auto"/>
        </w:rPr>
      </w:pPr>
      <w:r>
        <w:rPr>
          <w:rFonts w:ascii="Arial" w:cs="Arial" w:eastAsia="Arial" w:hAnsi="Arial"/>
          <w:sz w:val="22"/>
          <w:szCs w:val="22"/>
          <w:color w:val="auto"/>
        </w:rPr>
        <w:t>DECIMOCTAVA.- CRITERIOS DE GRADUACIÓN DEL INCUMPLIMIENTO</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spacing w:after="0" w:line="285" w:lineRule="auto"/>
        <w:rPr>
          <w:sz w:val="20"/>
          <w:szCs w:val="20"/>
          <w:color w:val="auto"/>
        </w:rPr>
      </w:pPr>
      <w:r>
        <w:rPr>
          <w:rFonts w:ascii="Arial" w:cs="Arial" w:eastAsia="Arial" w:hAnsi="Arial"/>
          <w:sz w:val="22"/>
          <w:szCs w:val="22"/>
          <w:color w:val="auto"/>
        </w:rPr>
        <w:t>El incumplimiento total o parcial de los requisitos y obligaciones establecidos en la presente subvención, dará lugar a la pérdida del derecho de cobro de la subvención que el mismo instrumentaliza, y/o obligación de reintegrar esta, conforme a lo dispuesto en el Título II de la Ley 38/2003 de 17 de noviembre General de Subvenciones, y en el Título III del Real Decreto 887/2006 de 21 de junio por el que se aprueba el Reglamento de la citada Ley.</w:t>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spacing w:after="0"/>
        <w:rPr>
          <w:sz w:val="20"/>
          <w:szCs w:val="20"/>
          <w:color w:val="auto"/>
        </w:rPr>
      </w:pPr>
      <w:r>
        <w:rPr>
          <w:rFonts w:ascii="Arial" w:cs="Arial" w:eastAsia="Arial" w:hAnsi="Arial"/>
          <w:sz w:val="22"/>
          <w:szCs w:val="22"/>
          <w:color w:val="auto"/>
        </w:rPr>
        <w:t>Los criterios generales de graduación de incumplimiento son los que se indican a continuación:</w:t>
      </w:r>
    </w:p>
    <w:p>
      <w:pPr>
        <w:spacing w:after="0" w:line="238" w:lineRule="exact"/>
        <w:rPr>
          <w:sz w:val="20"/>
          <w:szCs w:val="20"/>
          <w:color w:val="auto"/>
        </w:rPr>
      </w:pPr>
    </w:p>
    <w:p>
      <w:pPr>
        <w:jc w:val="both"/>
        <w:ind w:left="700" w:hanging="349"/>
        <w:spacing w:after="0" w:line="276" w:lineRule="auto"/>
        <w:tabs>
          <w:tab w:leader="none" w:pos="695" w:val="left"/>
        </w:tabs>
        <w:numPr>
          <w:ilvl w:val="0"/>
          <w:numId w:val="20"/>
        </w:numPr>
        <w:rPr>
          <w:rFonts w:ascii="Arial" w:cs="Arial" w:eastAsia="Arial" w:hAnsi="Arial"/>
          <w:sz w:val="22"/>
          <w:szCs w:val="22"/>
          <w:color w:val="auto"/>
        </w:rPr>
      </w:pPr>
      <w:r>
        <w:rPr>
          <w:rFonts w:ascii="Arial" w:cs="Arial" w:eastAsia="Arial" w:hAnsi="Arial"/>
          <w:sz w:val="22"/>
          <w:szCs w:val="22"/>
          <w:color w:val="auto"/>
        </w:rPr>
        <w:t>El incumplimiento total y manifiesto de los objetivos para los que se concedió la subvención, determinado a través de los mecanismos de seguimiento y control de la</w:t>
      </w:r>
    </w:p>
    <w:p>
      <w:pPr>
        <w:spacing w:after="0" w:line="393"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1" w:name="page22"/>
    <w:bookmarkEnd w:id="21"/>
    <w:p>
      <w:pPr>
        <w:ind w:left="700"/>
        <w:spacing w:after="0" w:line="276" w:lineRule="auto"/>
        <w:rPr>
          <w:sz w:val="20"/>
          <w:szCs w:val="20"/>
          <w:color w:val="auto"/>
        </w:rPr>
      </w:pPr>
      <w:r>
        <w:rPr>
          <w:rFonts w:ascii="Arial" w:cs="Arial" w:eastAsia="Arial" w:hAnsi="Arial"/>
          <w:sz w:val="22"/>
          <w:szCs w:val="22"/>
          <w:color w:val="auto"/>
        </w:rPr>
        <w:t>misma, será causa de reintegro total, y en su caso de la pérdida del derecho al cobro de las cantidades pendientes de percibir.</w:t>
      </w:r>
    </w:p>
    <w:p>
      <w:pPr>
        <w:spacing w:after="0" w:line="44" w:lineRule="exact"/>
        <w:rPr>
          <w:sz w:val="20"/>
          <w:szCs w:val="20"/>
          <w:color w:val="auto"/>
        </w:rPr>
      </w:pPr>
    </w:p>
    <w:p>
      <w:pPr>
        <w:ind w:left="700" w:hanging="349"/>
        <w:spacing w:after="0" w:line="276" w:lineRule="auto"/>
        <w:tabs>
          <w:tab w:leader="none" w:pos="695" w:val="left"/>
        </w:tabs>
        <w:numPr>
          <w:ilvl w:val="0"/>
          <w:numId w:val="21"/>
        </w:numPr>
        <w:rPr>
          <w:rFonts w:ascii="Arial" w:cs="Arial" w:eastAsia="Arial" w:hAnsi="Arial"/>
          <w:sz w:val="22"/>
          <w:szCs w:val="22"/>
          <w:color w:val="auto"/>
        </w:rPr>
      </w:pPr>
      <w:r>
        <w:rPr>
          <w:rFonts w:ascii="Arial" w:cs="Arial" w:eastAsia="Arial" w:hAnsi="Arial"/>
          <w:sz w:val="22"/>
          <w:szCs w:val="22"/>
          <w:color w:val="auto"/>
        </w:rPr>
        <w:t>El incumplimiento de objetivos parciales conllevará la devolución de aquella parte de la subvención destinada a las mismas.</w:t>
      </w:r>
    </w:p>
    <w:p>
      <w:pPr>
        <w:spacing w:after="0" w:line="44" w:lineRule="exact"/>
        <w:rPr>
          <w:rFonts w:ascii="Arial" w:cs="Arial" w:eastAsia="Arial" w:hAnsi="Arial"/>
          <w:sz w:val="22"/>
          <w:szCs w:val="22"/>
          <w:color w:val="auto"/>
        </w:rPr>
      </w:pPr>
    </w:p>
    <w:p>
      <w:pPr>
        <w:jc w:val="both"/>
        <w:ind w:left="700" w:hanging="349"/>
        <w:spacing w:after="0" w:line="258" w:lineRule="auto"/>
        <w:tabs>
          <w:tab w:leader="none" w:pos="695" w:val="left"/>
        </w:tabs>
        <w:numPr>
          <w:ilvl w:val="0"/>
          <w:numId w:val="21"/>
        </w:numPr>
        <w:rPr>
          <w:rFonts w:ascii="Arial" w:cs="Arial" w:eastAsia="Arial" w:hAnsi="Arial"/>
          <w:sz w:val="22"/>
          <w:szCs w:val="22"/>
          <w:color w:val="auto"/>
        </w:rPr>
      </w:pPr>
      <w:r>
        <w:rPr>
          <w:rFonts w:ascii="Arial" w:cs="Arial" w:eastAsia="Arial" w:hAnsi="Arial"/>
          <w:sz w:val="22"/>
          <w:szCs w:val="22"/>
          <w:color w:val="auto"/>
        </w:rPr>
        <w:t>La falta de presentación, de acuerdo a lo establecido de la justificación, conllevará la devolución de las cantidades percibidas y no justificadas, y en su caso, la pérdida del derecho al cobro de las cantidades pendientes de percibir.</w:t>
      </w:r>
    </w:p>
    <w:p>
      <w:pPr>
        <w:spacing w:after="0" w:line="63" w:lineRule="exact"/>
        <w:rPr>
          <w:rFonts w:ascii="Arial" w:cs="Arial" w:eastAsia="Arial" w:hAnsi="Arial"/>
          <w:sz w:val="22"/>
          <w:szCs w:val="22"/>
          <w:color w:val="auto"/>
        </w:rPr>
      </w:pPr>
    </w:p>
    <w:p>
      <w:pPr>
        <w:ind w:left="700" w:hanging="349"/>
        <w:spacing w:after="0" w:line="276" w:lineRule="auto"/>
        <w:tabs>
          <w:tab w:leader="none" w:pos="695" w:val="left"/>
        </w:tabs>
        <w:numPr>
          <w:ilvl w:val="0"/>
          <w:numId w:val="21"/>
        </w:numPr>
        <w:rPr>
          <w:rFonts w:ascii="Arial" w:cs="Arial" w:eastAsia="Arial" w:hAnsi="Arial"/>
          <w:sz w:val="22"/>
          <w:szCs w:val="22"/>
          <w:color w:val="auto"/>
        </w:rPr>
      </w:pPr>
      <w:r>
        <w:rPr>
          <w:rFonts w:ascii="Arial" w:cs="Arial" w:eastAsia="Arial" w:hAnsi="Arial"/>
          <w:sz w:val="22"/>
          <w:szCs w:val="22"/>
          <w:color w:val="auto"/>
        </w:rPr>
        <w:t>El incumplimiento de las obligaciones de difusión será causa de reintegro parcial del importe asociado a dicho incumplimiento.</w:t>
      </w:r>
    </w:p>
    <w:p>
      <w:pPr>
        <w:spacing w:after="0" w:line="44" w:lineRule="exact"/>
        <w:rPr>
          <w:rFonts w:ascii="Arial" w:cs="Arial" w:eastAsia="Arial" w:hAnsi="Arial"/>
          <w:sz w:val="22"/>
          <w:szCs w:val="22"/>
          <w:color w:val="auto"/>
        </w:rPr>
      </w:pPr>
    </w:p>
    <w:p>
      <w:pPr>
        <w:ind w:left="700" w:hanging="349"/>
        <w:spacing w:after="0"/>
        <w:tabs>
          <w:tab w:leader="none" w:pos="700" w:val="left"/>
        </w:tabs>
        <w:numPr>
          <w:ilvl w:val="0"/>
          <w:numId w:val="21"/>
        </w:numPr>
        <w:rPr>
          <w:rFonts w:ascii="Arial" w:cs="Arial" w:eastAsia="Arial" w:hAnsi="Arial"/>
          <w:sz w:val="22"/>
          <w:szCs w:val="22"/>
          <w:color w:val="auto"/>
        </w:rPr>
      </w:pPr>
      <w:r>
        <w:rPr>
          <w:rFonts w:ascii="Arial" w:cs="Arial" w:eastAsia="Arial" w:hAnsi="Arial"/>
          <w:sz w:val="22"/>
          <w:szCs w:val="22"/>
          <w:color w:val="auto"/>
        </w:rPr>
        <w:t>Los remanentes de subvención no utilizados se deberán reintegrar en su totalidad.</w:t>
      </w:r>
    </w:p>
    <w:p>
      <w:pPr>
        <w:spacing w:after="0" w:line="200" w:lineRule="exact"/>
        <w:rPr>
          <w:sz w:val="20"/>
          <w:szCs w:val="20"/>
          <w:color w:val="auto"/>
        </w:rPr>
      </w:pPr>
    </w:p>
    <w:p>
      <w:pPr>
        <w:spacing w:after="0" w:line="200" w:lineRule="exact"/>
        <w:rPr>
          <w:sz w:val="20"/>
          <w:szCs w:val="20"/>
          <w:color w:val="auto"/>
        </w:rPr>
      </w:pPr>
    </w:p>
    <w:p>
      <w:pPr>
        <w:spacing w:after="0" w:line="211" w:lineRule="exact"/>
        <w:rPr>
          <w:sz w:val="20"/>
          <w:szCs w:val="20"/>
          <w:color w:val="auto"/>
        </w:rPr>
      </w:pPr>
    </w:p>
    <w:p>
      <w:pPr>
        <w:spacing w:after="0"/>
        <w:rPr>
          <w:sz w:val="20"/>
          <w:szCs w:val="20"/>
          <w:color w:val="auto"/>
        </w:rPr>
      </w:pPr>
      <w:r>
        <w:rPr>
          <w:rFonts w:ascii="Arial" w:cs="Arial" w:eastAsia="Arial" w:hAnsi="Arial"/>
          <w:sz w:val="22"/>
          <w:szCs w:val="22"/>
          <w:color w:val="auto"/>
        </w:rPr>
        <w:t>Los criterios específicos de graduación de incumplimiento son los que se indican a continuación: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left="720" w:hanging="366"/>
        <w:spacing w:after="0" w:line="258" w:lineRule="auto"/>
        <w:tabs>
          <w:tab w:leader="none" w:pos="709" w:val="left"/>
        </w:tabs>
        <w:numPr>
          <w:ilvl w:val="0"/>
          <w:numId w:val="22"/>
        </w:numPr>
        <w:rPr>
          <w:rFonts w:ascii="Arial" w:cs="Arial" w:eastAsia="Arial" w:hAnsi="Arial"/>
          <w:sz w:val="22"/>
          <w:szCs w:val="22"/>
          <w:color w:val="auto"/>
        </w:rPr>
      </w:pPr>
      <w:r>
        <w:rPr>
          <w:rFonts w:ascii="Arial" w:cs="Arial" w:eastAsia="Arial" w:hAnsi="Arial"/>
          <w:sz w:val="22"/>
          <w:szCs w:val="22"/>
          <w:color w:val="auto"/>
        </w:rPr>
        <w:t>La obtención de la subvención falseando las condiciones requeridas para ello u ocultando aquellas que la hubieran impedido. En este caso, procederá el reintegro de la totalidad de la cantidad percibida.</w:t>
      </w:r>
    </w:p>
    <w:p>
      <w:pPr>
        <w:spacing w:after="0" w:line="200" w:lineRule="exact"/>
        <w:rPr>
          <w:rFonts w:ascii="Arial" w:cs="Arial" w:eastAsia="Arial" w:hAnsi="Arial"/>
          <w:sz w:val="22"/>
          <w:szCs w:val="22"/>
          <w:color w:val="auto"/>
        </w:rPr>
      </w:pPr>
    </w:p>
    <w:p>
      <w:pPr>
        <w:spacing w:after="0" w:line="354" w:lineRule="exact"/>
        <w:rPr>
          <w:rFonts w:ascii="Arial" w:cs="Arial" w:eastAsia="Arial" w:hAnsi="Arial"/>
          <w:sz w:val="22"/>
          <w:szCs w:val="22"/>
          <w:color w:val="auto"/>
        </w:rPr>
      </w:pPr>
    </w:p>
    <w:p>
      <w:pPr>
        <w:jc w:val="both"/>
        <w:ind w:left="720" w:hanging="366"/>
        <w:spacing w:after="0" w:line="252" w:lineRule="auto"/>
        <w:tabs>
          <w:tab w:leader="none" w:pos="709" w:val="left"/>
        </w:tabs>
        <w:numPr>
          <w:ilvl w:val="0"/>
          <w:numId w:val="22"/>
        </w:numPr>
        <w:rPr>
          <w:rFonts w:ascii="Arial" w:cs="Arial" w:eastAsia="Arial" w:hAnsi="Arial"/>
          <w:sz w:val="22"/>
          <w:szCs w:val="22"/>
          <w:color w:val="auto"/>
        </w:rPr>
      </w:pPr>
      <w:r>
        <w:rPr>
          <w:rFonts w:ascii="Arial" w:cs="Arial" w:eastAsia="Arial" w:hAnsi="Arial"/>
          <w:sz w:val="22"/>
          <w:szCs w:val="22"/>
          <w:color w:val="auto"/>
        </w:rPr>
        <w:t>Incumplimiento total o parcial del objetivo, de la actividad, del proyecto o la no adopción del comportamiento que fundamenta la concesión de la subvención. En caso de incumplimiento parcial, la cantidad a reintegrar será un porcentaje de lo percibido equivalente al porcentaje de incumplimiento.</w:t>
      </w:r>
    </w:p>
    <w:p>
      <w:pPr>
        <w:spacing w:after="0" w:line="200" w:lineRule="exact"/>
        <w:rPr>
          <w:rFonts w:ascii="Arial" w:cs="Arial" w:eastAsia="Arial" w:hAnsi="Arial"/>
          <w:sz w:val="22"/>
          <w:szCs w:val="22"/>
          <w:color w:val="auto"/>
        </w:rPr>
      </w:pPr>
    </w:p>
    <w:p>
      <w:pPr>
        <w:spacing w:after="0" w:line="360" w:lineRule="exact"/>
        <w:rPr>
          <w:rFonts w:ascii="Arial" w:cs="Arial" w:eastAsia="Arial" w:hAnsi="Arial"/>
          <w:sz w:val="22"/>
          <w:szCs w:val="22"/>
          <w:color w:val="auto"/>
        </w:rPr>
      </w:pPr>
    </w:p>
    <w:p>
      <w:pPr>
        <w:ind w:left="720" w:hanging="366"/>
        <w:spacing w:after="0" w:line="276" w:lineRule="auto"/>
        <w:tabs>
          <w:tab w:leader="none" w:pos="709" w:val="left"/>
        </w:tabs>
        <w:numPr>
          <w:ilvl w:val="0"/>
          <w:numId w:val="22"/>
        </w:numPr>
        <w:rPr>
          <w:rFonts w:ascii="Arial" w:cs="Arial" w:eastAsia="Arial" w:hAnsi="Arial"/>
          <w:sz w:val="22"/>
          <w:szCs w:val="22"/>
          <w:color w:val="auto"/>
        </w:rPr>
      </w:pPr>
      <w:r>
        <w:rPr>
          <w:rFonts w:ascii="Arial" w:cs="Arial" w:eastAsia="Arial" w:hAnsi="Arial"/>
          <w:sz w:val="22"/>
          <w:szCs w:val="22"/>
          <w:color w:val="auto"/>
        </w:rPr>
        <w:t>Incumplimiento de la obligación de justificación o la justificación insuficiente. Deberá devolverse las cantidades no justificadas debidamente.</w:t>
      </w:r>
    </w:p>
    <w:p>
      <w:pPr>
        <w:spacing w:after="0" w:line="200" w:lineRule="exact"/>
        <w:rPr>
          <w:rFonts w:ascii="Arial" w:cs="Arial" w:eastAsia="Arial" w:hAnsi="Arial"/>
          <w:sz w:val="22"/>
          <w:szCs w:val="22"/>
          <w:color w:val="auto"/>
        </w:rPr>
      </w:pPr>
    </w:p>
    <w:p>
      <w:pPr>
        <w:spacing w:after="0" w:line="335"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22"/>
        </w:numPr>
        <w:rPr>
          <w:rFonts w:ascii="Arial" w:cs="Arial" w:eastAsia="Arial" w:hAnsi="Arial"/>
          <w:sz w:val="22"/>
          <w:szCs w:val="22"/>
          <w:color w:val="auto"/>
        </w:rPr>
      </w:pPr>
      <w:r>
        <w:rPr>
          <w:rFonts w:ascii="Arial" w:cs="Arial" w:eastAsia="Arial" w:hAnsi="Arial"/>
          <w:sz w:val="22"/>
          <w:szCs w:val="22"/>
          <w:color w:val="auto"/>
        </w:rPr>
        <w:t>Incumplimiento de la obligación de adoptar las medidas de difusión contenidas en la cláusula cuarta de esta Resolución de concesión. En este caso procederá el reintegro de la totalidad de la cantidad percibida.</w:t>
      </w:r>
    </w:p>
    <w:p>
      <w:pPr>
        <w:spacing w:after="0" w:line="200" w:lineRule="exact"/>
        <w:rPr>
          <w:rFonts w:ascii="Arial" w:cs="Arial" w:eastAsia="Arial" w:hAnsi="Arial"/>
          <w:sz w:val="22"/>
          <w:szCs w:val="22"/>
          <w:color w:val="auto"/>
        </w:rPr>
      </w:pPr>
    </w:p>
    <w:p>
      <w:pPr>
        <w:spacing w:after="0" w:line="354" w:lineRule="exact"/>
        <w:rPr>
          <w:rFonts w:ascii="Arial" w:cs="Arial" w:eastAsia="Arial" w:hAnsi="Arial"/>
          <w:sz w:val="22"/>
          <w:szCs w:val="22"/>
          <w:color w:val="auto"/>
        </w:rPr>
      </w:pPr>
    </w:p>
    <w:p>
      <w:pPr>
        <w:jc w:val="both"/>
        <w:ind w:left="720" w:hanging="366"/>
        <w:spacing w:after="0" w:line="244" w:lineRule="auto"/>
        <w:tabs>
          <w:tab w:leader="none" w:pos="709" w:val="left"/>
        </w:tabs>
        <w:numPr>
          <w:ilvl w:val="0"/>
          <w:numId w:val="22"/>
        </w:numPr>
        <w:rPr>
          <w:rFonts w:ascii="Arial" w:cs="Arial" w:eastAsia="Arial" w:hAnsi="Arial"/>
          <w:sz w:val="22"/>
          <w:szCs w:val="22"/>
          <w:color w:val="auto"/>
        </w:rPr>
      </w:pPr>
      <w:r>
        <w:rPr>
          <w:rFonts w:ascii="Arial" w:cs="Arial" w:eastAsia="Arial" w:hAnsi="Arial"/>
          <w:sz w:val="22"/>
          <w:szCs w:val="22"/>
          <w:color w:val="auto"/>
        </w:rPr>
        <w:t>Resistencia, excusa, obstrucción o negativa a las actuaciones de comprobación y control financiero previstas en los artículos 14 y 15 de la Ley 38/2003 General de Subvenciones,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esta caso, procederá el reintegro de la totalidad de la cantidad percibida.</w:t>
      </w:r>
    </w:p>
    <w:p>
      <w:pPr>
        <w:spacing w:after="0" w:line="200" w:lineRule="exact"/>
        <w:rPr>
          <w:rFonts w:ascii="Arial" w:cs="Arial" w:eastAsia="Arial" w:hAnsi="Arial"/>
          <w:sz w:val="22"/>
          <w:szCs w:val="22"/>
          <w:color w:val="auto"/>
        </w:rPr>
      </w:pPr>
    </w:p>
    <w:p>
      <w:pPr>
        <w:spacing w:after="0" w:line="373" w:lineRule="exact"/>
        <w:rPr>
          <w:rFonts w:ascii="Arial" w:cs="Arial" w:eastAsia="Arial" w:hAnsi="Arial"/>
          <w:sz w:val="22"/>
          <w:szCs w:val="22"/>
          <w:color w:val="auto"/>
        </w:rPr>
      </w:pPr>
    </w:p>
    <w:p>
      <w:pPr>
        <w:jc w:val="both"/>
        <w:ind w:left="720" w:hanging="366"/>
        <w:spacing w:after="0" w:line="252" w:lineRule="auto"/>
        <w:tabs>
          <w:tab w:leader="none" w:pos="709" w:val="left"/>
        </w:tabs>
        <w:numPr>
          <w:ilvl w:val="0"/>
          <w:numId w:val="22"/>
        </w:numPr>
        <w:rPr>
          <w:rFonts w:ascii="Arial" w:cs="Arial" w:eastAsia="Arial" w:hAnsi="Arial"/>
          <w:sz w:val="22"/>
          <w:szCs w:val="22"/>
          <w:color w:val="auto"/>
        </w:rPr>
      </w:pPr>
      <w:r>
        <w:rPr>
          <w:rFonts w:ascii="Arial" w:cs="Arial" w:eastAsia="Arial" w:hAnsi="Arial"/>
          <w:sz w:val="22"/>
          <w:szCs w:val="22"/>
          <w:color w:val="auto"/>
        </w:rPr>
        <w:t>Incumplimiento de las obligaciones impuestas por la Administración al beneficiario, así como de los compromisos por este asumidos, con motivo de la concesión de la subvención, siempre que afecten o se refieran al modo en que se han de conseguir los objetivos, realizar la actividad, ejecutar el proyecto o adoptar el comportamiento que</w:t>
      </w:r>
    </w:p>
    <w:p>
      <w:pPr>
        <w:spacing w:after="0" w:line="226"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2" w:name="page23"/>
    <w:bookmarkEnd w:id="22"/>
    <w:p>
      <w:pPr>
        <w:jc w:val="both"/>
        <w:ind w:left="720"/>
        <w:spacing w:after="0" w:line="276" w:lineRule="auto"/>
        <w:rPr>
          <w:sz w:val="20"/>
          <w:szCs w:val="20"/>
          <w:color w:val="auto"/>
        </w:rPr>
      </w:pPr>
      <w:r>
        <w:rPr>
          <w:rFonts w:ascii="Arial" w:cs="Arial" w:eastAsia="Arial" w:hAnsi="Arial"/>
          <w:sz w:val="22"/>
          <w:szCs w:val="22"/>
          <w:color w:val="auto"/>
        </w:rPr>
        <w:t>fundamenta la concesión de la subvención. En caso de incumplimiento parcial, la cantidad a reintegrar será un porcentaje de lo percibido equivalente al porcentaje de incumplimiento.</w:t>
      </w:r>
    </w:p>
    <w:p>
      <w:pPr>
        <w:spacing w:after="0" w:line="200" w:lineRule="exact"/>
        <w:rPr>
          <w:sz w:val="20"/>
          <w:szCs w:val="20"/>
          <w:color w:val="auto"/>
        </w:rPr>
      </w:pPr>
    </w:p>
    <w:p>
      <w:pPr>
        <w:spacing w:after="0" w:line="335" w:lineRule="exact"/>
        <w:rPr>
          <w:sz w:val="20"/>
          <w:szCs w:val="20"/>
          <w:color w:val="auto"/>
        </w:rPr>
      </w:pPr>
    </w:p>
    <w:p>
      <w:pPr>
        <w:jc w:val="both"/>
        <w:ind w:left="720" w:hanging="366"/>
        <w:spacing w:after="0" w:line="244" w:lineRule="auto"/>
        <w:tabs>
          <w:tab w:leader="none" w:pos="709" w:val="left"/>
        </w:tabs>
        <w:numPr>
          <w:ilvl w:val="0"/>
          <w:numId w:val="23"/>
        </w:numPr>
        <w:rPr>
          <w:rFonts w:ascii="Arial" w:cs="Arial" w:eastAsia="Arial" w:hAnsi="Arial"/>
          <w:sz w:val="22"/>
          <w:szCs w:val="22"/>
          <w:color w:val="auto"/>
        </w:rPr>
      </w:pPr>
      <w:r>
        <w:rPr>
          <w:rFonts w:ascii="Arial" w:cs="Arial" w:eastAsia="Arial" w:hAnsi="Arial"/>
          <w:sz w:val="22"/>
          <w:szCs w:val="22"/>
          <w:color w:val="auto"/>
        </w:rPr>
        <w:t>Incumplimiento de las obligaciones impuestas por la Administración al beneficiario, así como de los compromisos por este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w:t>
      </w:r>
    </w:p>
    <w:p>
      <w:pPr>
        <w:spacing w:after="0" w:line="200" w:lineRule="exact"/>
        <w:rPr>
          <w:rFonts w:ascii="Arial" w:cs="Arial" w:eastAsia="Arial" w:hAnsi="Arial"/>
          <w:sz w:val="22"/>
          <w:szCs w:val="22"/>
          <w:color w:val="auto"/>
        </w:rPr>
      </w:pPr>
    </w:p>
    <w:p>
      <w:pPr>
        <w:spacing w:after="0" w:line="373" w:lineRule="exact"/>
        <w:rPr>
          <w:rFonts w:ascii="Arial" w:cs="Arial" w:eastAsia="Arial" w:hAnsi="Arial"/>
          <w:sz w:val="22"/>
          <w:szCs w:val="22"/>
          <w:color w:val="auto"/>
        </w:rPr>
      </w:pPr>
    </w:p>
    <w:p>
      <w:pPr>
        <w:jc w:val="both"/>
        <w:ind w:left="720" w:hanging="366"/>
        <w:spacing w:after="0" w:line="258" w:lineRule="auto"/>
        <w:tabs>
          <w:tab w:leader="none" w:pos="709" w:val="left"/>
        </w:tabs>
        <w:numPr>
          <w:ilvl w:val="0"/>
          <w:numId w:val="23"/>
        </w:numPr>
        <w:rPr>
          <w:rFonts w:ascii="Arial" w:cs="Arial" w:eastAsia="Arial" w:hAnsi="Arial"/>
          <w:sz w:val="22"/>
          <w:szCs w:val="22"/>
          <w:color w:val="auto"/>
        </w:rPr>
      </w:pPr>
      <w:r>
        <w:rPr>
          <w:rFonts w:ascii="Arial" w:cs="Arial" w:eastAsia="Arial" w:hAnsi="Arial"/>
          <w:sz w:val="22"/>
          <w:szCs w:val="22"/>
          <w:color w:val="auto"/>
        </w:rPr>
        <w:t>En el supuesto contemplado en el artículo 19 de la Ley 38/2003 General de Subvenciones procederá el reintegro del exceso obtenido sobre el coste total de la actividad subvencionada, así como la exigencia del interés de demora correspondiente.</w:t>
      </w:r>
    </w:p>
    <w:p>
      <w:pPr>
        <w:spacing w:after="0" w:line="200" w:lineRule="exact"/>
        <w:rPr>
          <w:sz w:val="20"/>
          <w:szCs w:val="20"/>
          <w:color w:val="auto"/>
        </w:rPr>
      </w:pPr>
    </w:p>
    <w:p>
      <w:pPr>
        <w:spacing w:after="0" w:line="234" w:lineRule="exact"/>
        <w:rPr>
          <w:sz w:val="20"/>
          <w:szCs w:val="20"/>
          <w:color w:val="auto"/>
        </w:rPr>
      </w:pPr>
    </w:p>
    <w:p>
      <w:pPr>
        <w:spacing w:after="0"/>
        <w:rPr>
          <w:sz w:val="20"/>
          <w:szCs w:val="20"/>
          <w:color w:val="auto"/>
        </w:rPr>
      </w:pPr>
      <w:r>
        <w:rPr>
          <w:rFonts w:ascii="Arial" w:cs="Arial" w:eastAsia="Arial" w:hAnsi="Arial"/>
          <w:sz w:val="22"/>
          <w:szCs w:val="22"/>
          <w:color w:val="auto"/>
        </w:rPr>
        <w:t>DECIMONOVENA.- RÉGIMEN JURÍDICO Y JURISDICCIÓN COMPETENTE</w:t>
      </w:r>
    </w:p>
    <w:p>
      <w:pPr>
        <w:spacing w:after="0" w:line="200" w:lineRule="exact"/>
        <w:rPr>
          <w:sz w:val="20"/>
          <w:szCs w:val="20"/>
          <w:color w:val="auto"/>
        </w:rPr>
      </w:pPr>
    </w:p>
    <w:p>
      <w:pPr>
        <w:spacing w:after="0" w:line="306" w:lineRule="exact"/>
        <w:rPr>
          <w:sz w:val="20"/>
          <w:szCs w:val="20"/>
          <w:color w:val="auto"/>
        </w:rPr>
      </w:pPr>
    </w:p>
    <w:p>
      <w:pPr>
        <w:jc w:val="both"/>
        <w:spacing w:after="0" w:line="258" w:lineRule="auto"/>
        <w:rPr>
          <w:sz w:val="20"/>
          <w:szCs w:val="20"/>
          <w:color w:val="auto"/>
        </w:rPr>
      </w:pPr>
      <w:r>
        <w:rPr>
          <w:rFonts w:ascii="Arial" w:cs="Arial" w:eastAsia="Arial" w:hAnsi="Arial"/>
          <w:sz w:val="22"/>
          <w:szCs w:val="22"/>
          <w:color w:val="auto"/>
        </w:rPr>
        <w:t>La presente Resolución de concesión posee carácter administrativo, rigiendo en su interpretación y desarrollo el ordenamiento jurídico-administrativo, con expresa sumisión de las partes a la jurisdicción contencioso-administrativa.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9"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552" w:right="1126" w:bottom="0" w:gutter="0" w:footer="0" w:header="0"/>
          <w:type w:val="continuous"/>
        </w:sectPr>
      </w:pPr>
    </w:p>
    <w:bookmarkStart w:id="23" w:name="page24"/>
    <w:bookmarkEnd w:id="23"/>
    <w:p>
      <w:pPr>
        <w:jc w:val="center"/>
        <w:ind w:right="-119"/>
        <w:spacing w:after="0"/>
        <w:rPr>
          <w:sz w:val="20"/>
          <w:szCs w:val="20"/>
          <w:color w:val="auto"/>
        </w:rPr>
      </w:pPr>
      <w:r>
        <w:rPr>
          <w:rFonts w:ascii="Arial" w:cs="Arial" w:eastAsia="Arial" w:hAnsi="Arial"/>
          <w:sz w:val="22"/>
          <w:szCs w:val="22"/>
          <w:color w:val="auto"/>
        </w:rPr>
        <w:t>ANEXO I</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center"/>
        <w:ind w:right="-119"/>
        <w:spacing w:after="0"/>
        <w:rPr>
          <w:sz w:val="20"/>
          <w:szCs w:val="20"/>
          <w:color w:val="auto"/>
        </w:rPr>
      </w:pPr>
      <w:r>
        <w:rPr>
          <w:rFonts w:ascii="Arial" w:cs="Arial" w:eastAsia="Arial" w:hAnsi="Arial"/>
          <w:sz w:val="22"/>
          <w:szCs w:val="22"/>
          <w:color w:val="auto"/>
        </w:rPr>
        <w:t>CERTIFICADO PARA LA JUSTIFICACIÓN DE LA SUBVENCIÓN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120"/>
        <w:spacing w:after="0"/>
        <w:rPr>
          <w:sz w:val="20"/>
          <w:szCs w:val="20"/>
          <w:color w:val="auto"/>
        </w:rPr>
      </w:pPr>
      <w:r>
        <w:rPr>
          <w:rFonts w:ascii="Arial" w:cs="Arial" w:eastAsia="Arial" w:hAnsi="Arial"/>
          <w:sz w:val="22"/>
          <w:szCs w:val="22"/>
          <w:color w:val="auto"/>
        </w:rPr>
        <w:t>ESPACIO PARA EL LOGO DE LA ENTIDAD</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120"/>
        <w:spacing w:after="0"/>
        <w:tabs>
          <w:tab w:leader="none" w:pos="1060" w:val="left"/>
          <w:tab w:leader="none" w:pos="8180" w:val="left"/>
          <w:tab w:leader="none" w:pos="8760" w:val="left"/>
          <w:tab w:leader="none" w:pos="9520" w:val="left"/>
        </w:tabs>
        <w:rPr>
          <w:sz w:val="20"/>
          <w:szCs w:val="20"/>
          <w:color w:val="auto"/>
        </w:rPr>
      </w:pPr>
      <w:r>
        <w:rPr>
          <w:rFonts w:ascii="Arial" w:cs="Arial" w:eastAsia="Arial" w:hAnsi="Arial"/>
          <w:sz w:val="22"/>
          <w:szCs w:val="22"/>
          <w:color w:val="auto"/>
        </w:rPr>
        <w:t>D./Dña.</w:t>
        <w:tab/>
        <w:t>________________________________________________________,</w:t>
        <w:tab/>
        <w:t>con</w:t>
        <w:tab/>
        <w:t>D.N.I.</w:t>
        <w:tab/>
        <w:t>nº</w:t>
      </w:r>
    </w:p>
    <w:p>
      <w:pPr>
        <w:spacing w:after="0" w:line="22" w:lineRule="exact"/>
        <w:rPr>
          <w:sz w:val="20"/>
          <w:szCs w:val="20"/>
          <w:color w:val="auto"/>
        </w:rPr>
      </w:pPr>
    </w:p>
    <w:p>
      <w:pPr>
        <w:ind w:left="120"/>
        <w:spacing w:after="0"/>
        <w:rPr>
          <w:sz w:val="20"/>
          <w:szCs w:val="20"/>
          <w:color w:val="auto"/>
        </w:rPr>
      </w:pPr>
      <w:r>
        <w:rPr>
          <w:rFonts w:ascii="Arial" w:cs="Arial" w:eastAsia="Arial" w:hAnsi="Arial"/>
          <w:sz w:val="22"/>
          <w:szCs w:val="22"/>
          <w:color w:val="auto"/>
        </w:rPr>
        <w:t>___________, en calidad de Secretaria/o de la entidad _______________________________,</w:t>
      </w:r>
    </w:p>
    <w:p>
      <w:pPr>
        <w:ind w:left="120"/>
        <w:spacing w:after="0"/>
        <w:rPr>
          <w:sz w:val="20"/>
          <w:szCs w:val="20"/>
          <w:color w:val="auto"/>
        </w:rPr>
      </w:pPr>
      <w:r>
        <w:rPr>
          <w:rFonts w:ascii="Arial" w:cs="Arial" w:eastAsia="Arial" w:hAnsi="Arial"/>
          <w:sz w:val="22"/>
          <w:szCs w:val="22"/>
          <w:color w:val="auto"/>
        </w:rPr>
        <w:t>con N.I.F. nº _______________</w:t>
      </w:r>
    </w:p>
    <w:p>
      <w:pPr>
        <w:spacing w:after="0" w:line="231" w:lineRule="exact"/>
        <w:rPr>
          <w:sz w:val="20"/>
          <w:szCs w:val="20"/>
          <w:color w:val="auto"/>
        </w:rPr>
      </w:pPr>
    </w:p>
    <w:p>
      <w:pPr>
        <w:ind w:left="120"/>
        <w:spacing w:after="0"/>
        <w:rPr>
          <w:sz w:val="20"/>
          <w:szCs w:val="20"/>
          <w:color w:val="auto"/>
        </w:rPr>
      </w:pPr>
      <w:r>
        <w:rPr>
          <w:rFonts w:ascii="Arial" w:cs="Arial" w:eastAsia="Arial" w:hAnsi="Arial"/>
          <w:sz w:val="22"/>
          <w:szCs w:val="22"/>
          <w:color w:val="auto"/>
        </w:rPr>
        <w:t>CERTIFICO:</w:t>
      </w:r>
    </w:p>
    <w:p>
      <w:pPr>
        <w:spacing w:after="0" w:line="253" w:lineRule="exact"/>
        <w:rPr>
          <w:sz w:val="20"/>
          <w:szCs w:val="20"/>
          <w:color w:val="auto"/>
        </w:rPr>
      </w:pPr>
    </w:p>
    <w:p>
      <w:pPr>
        <w:ind w:left="120"/>
        <w:spacing w:after="0"/>
        <w:rPr>
          <w:sz w:val="20"/>
          <w:szCs w:val="20"/>
          <w:color w:val="auto"/>
        </w:rPr>
      </w:pPr>
      <w:r>
        <w:rPr>
          <w:rFonts w:ascii="Arial" w:cs="Arial" w:eastAsia="Arial" w:hAnsi="Arial"/>
          <w:sz w:val="22"/>
          <w:szCs w:val="22"/>
          <w:color w:val="auto"/>
        </w:rPr>
        <w:t>Primero.- Que por Resolución de fecha ____ de ______ de 2020 se concede por parte del Excmo.</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Cabildo Insular de La Palma a la entidad ________________ una subvención cuyo objeto</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constituye el atender a los gastos de la gestión del servicio de promoción de autonomía personal</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________________  por  un  importe  de  _________________  euros  habiéndose  recibido  y</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destinado dicha cantidad a la ejecución del objeto de la subvención.</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both"/>
        <w:ind w:left="120"/>
        <w:spacing w:after="0" w:line="276" w:lineRule="auto"/>
        <w:rPr>
          <w:sz w:val="20"/>
          <w:szCs w:val="20"/>
          <w:color w:val="auto"/>
        </w:rPr>
      </w:pPr>
      <w:r>
        <w:rPr>
          <w:rFonts w:ascii="Arial" w:cs="Arial" w:eastAsia="Arial" w:hAnsi="Arial"/>
          <w:sz w:val="22"/>
          <w:szCs w:val="22"/>
          <w:color w:val="auto"/>
        </w:rPr>
        <w:t>Segundo.- La subvención recibida se ha destinado al cumplimiento de la finalidad objeto de la subvención.</w:t>
      </w:r>
    </w:p>
    <w:p>
      <w:pPr>
        <w:spacing w:after="0" w:line="177" w:lineRule="exact"/>
        <w:rPr>
          <w:sz w:val="20"/>
          <w:szCs w:val="20"/>
          <w:color w:val="auto"/>
        </w:rPr>
      </w:pPr>
    </w:p>
    <w:p>
      <w:pPr>
        <w:ind w:left="120"/>
        <w:spacing w:after="0"/>
        <w:rPr>
          <w:sz w:val="20"/>
          <w:szCs w:val="20"/>
          <w:color w:val="auto"/>
        </w:rPr>
      </w:pPr>
      <w:r>
        <w:rPr>
          <w:rFonts w:ascii="Arial" w:cs="Arial" w:eastAsia="Arial" w:hAnsi="Arial"/>
          <w:sz w:val="22"/>
          <w:szCs w:val="22"/>
          <w:color w:val="auto"/>
        </w:rPr>
        <w:t>Tercero.- Que el coste total del servicio de promoción de autonomía personal ________________</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en el ejercicio 2020 asciende a _________________ euros, según el siguiente desglose:</w:t>
      </w:r>
    </w:p>
    <w:p>
      <w:pPr>
        <w:spacing w:after="0" w:line="200" w:lineRule="exact"/>
        <w:rPr>
          <w:sz w:val="20"/>
          <w:szCs w:val="20"/>
          <w:color w:val="auto"/>
        </w:rPr>
      </w:pPr>
    </w:p>
    <w:p>
      <w:pPr>
        <w:spacing w:after="0" w:line="285" w:lineRule="exact"/>
        <w:rPr>
          <w:sz w:val="20"/>
          <w:szCs w:val="20"/>
          <w:color w:val="auto"/>
        </w:rPr>
      </w:pPr>
    </w:p>
    <w:tbl>
      <w:tblPr>
        <w:tblLayout w:type="fixed"/>
        <w:tblInd w:w="10" w:type="dxa"/>
        <w:tblCellMar>
          <w:top w:w="0" w:type="dxa"/>
          <w:left w:w="0" w:type="dxa"/>
          <w:bottom w:w="0" w:type="dxa"/>
          <w:right w:w="0" w:type="dxa"/>
        </w:tblCellMar>
      </w:tblPr>
      <w:tr>
        <w:trPr>
          <w:trHeight w:val="263"/>
        </w:trPr>
        <w:tc>
          <w:tcPr>
            <w:tcW w:w="4340" w:type="dxa"/>
            <w:vAlign w:val="bottom"/>
            <w:tcBorders>
              <w:bottom w:val="single" w:sz="8" w:color="auto"/>
              <w:right w:val="single" w:sz="8" w:color="auto"/>
            </w:tcBorders>
          </w:tcPr>
          <w:p>
            <w:pPr>
              <w:spacing w:after="0"/>
              <w:rPr>
                <w:sz w:val="22"/>
                <w:szCs w:val="22"/>
                <w:color w:val="auto"/>
              </w:rPr>
            </w:pPr>
          </w:p>
        </w:tc>
        <w:tc>
          <w:tcPr>
            <w:tcW w:w="4320" w:type="dxa"/>
            <w:vAlign w:val="bottom"/>
            <w:tcBorders>
              <w:top w:val="single" w:sz="8" w:color="auto"/>
              <w:bottom w:val="single" w:sz="8" w:color="auto"/>
              <w:right w:val="single" w:sz="8" w:color="auto"/>
            </w:tcBorders>
          </w:tcPr>
          <w:p>
            <w:pPr>
              <w:ind w:left="100"/>
              <w:spacing w:after="0"/>
              <w:rPr>
                <w:sz w:val="20"/>
                <w:szCs w:val="20"/>
                <w:color w:val="auto"/>
              </w:rPr>
            </w:pPr>
            <w:r>
              <w:rPr>
                <w:rFonts w:ascii="Arial" w:cs="Arial" w:eastAsia="Arial" w:hAnsi="Arial"/>
                <w:sz w:val="22"/>
                <w:szCs w:val="22"/>
                <w:color w:val="auto"/>
              </w:rPr>
              <w:t>Importe</w:t>
            </w:r>
          </w:p>
        </w:tc>
      </w:tr>
      <w:tr>
        <w:trPr>
          <w:trHeight w:val="281"/>
        </w:trPr>
        <w:tc>
          <w:tcPr>
            <w:tcW w:w="43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2"/>
                <w:szCs w:val="22"/>
                <w:color w:val="auto"/>
                <w:w w:val="99"/>
              </w:rPr>
              <w:t>Gastos de personal</w:t>
            </w:r>
          </w:p>
        </w:tc>
        <w:tc>
          <w:tcPr>
            <w:tcW w:w="43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0,00 €</w:t>
            </w:r>
          </w:p>
        </w:tc>
      </w:tr>
      <w:tr>
        <w:trPr>
          <w:trHeight w:val="200"/>
        </w:trPr>
        <w:tc>
          <w:tcPr>
            <w:tcW w:w="4340" w:type="dxa"/>
            <w:vAlign w:val="bottom"/>
            <w:tcBorders>
              <w:left w:val="single" w:sz="8" w:color="auto"/>
              <w:bottom w:val="single" w:sz="8" w:color="auto"/>
              <w:right w:val="single" w:sz="8" w:color="auto"/>
            </w:tcBorders>
          </w:tcPr>
          <w:p>
            <w:pPr>
              <w:spacing w:after="0"/>
              <w:rPr>
                <w:sz w:val="17"/>
                <w:szCs w:val="17"/>
                <w:color w:val="auto"/>
              </w:rPr>
            </w:pPr>
          </w:p>
        </w:tc>
        <w:tc>
          <w:tcPr>
            <w:tcW w:w="4320" w:type="dxa"/>
            <w:vAlign w:val="bottom"/>
            <w:tcBorders>
              <w:bottom w:val="single" w:sz="8" w:color="auto"/>
              <w:right w:val="single" w:sz="8" w:color="auto"/>
            </w:tcBorders>
          </w:tcPr>
          <w:p>
            <w:pPr>
              <w:spacing w:after="0"/>
              <w:rPr>
                <w:sz w:val="17"/>
                <w:szCs w:val="17"/>
                <w:color w:val="auto"/>
              </w:rPr>
            </w:pPr>
          </w:p>
        </w:tc>
      </w:tr>
      <w:tr>
        <w:trPr>
          <w:trHeight w:val="281"/>
        </w:trPr>
        <w:tc>
          <w:tcPr>
            <w:tcW w:w="43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2"/>
                <w:szCs w:val="22"/>
                <w:color w:val="auto"/>
                <w:w w:val="99"/>
              </w:rPr>
              <w:t>Gastos de actividades</w:t>
            </w:r>
          </w:p>
        </w:tc>
        <w:tc>
          <w:tcPr>
            <w:tcW w:w="43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0,00 €</w:t>
            </w:r>
          </w:p>
        </w:tc>
      </w:tr>
      <w:tr>
        <w:trPr>
          <w:trHeight w:val="200"/>
        </w:trPr>
        <w:tc>
          <w:tcPr>
            <w:tcW w:w="4340" w:type="dxa"/>
            <w:vAlign w:val="bottom"/>
            <w:tcBorders>
              <w:left w:val="single" w:sz="8" w:color="auto"/>
              <w:bottom w:val="single" w:sz="8" w:color="auto"/>
              <w:right w:val="single" w:sz="8" w:color="auto"/>
            </w:tcBorders>
          </w:tcPr>
          <w:p>
            <w:pPr>
              <w:spacing w:after="0"/>
              <w:rPr>
                <w:sz w:val="17"/>
                <w:szCs w:val="17"/>
                <w:color w:val="auto"/>
              </w:rPr>
            </w:pPr>
          </w:p>
        </w:tc>
        <w:tc>
          <w:tcPr>
            <w:tcW w:w="4320" w:type="dxa"/>
            <w:vAlign w:val="bottom"/>
            <w:tcBorders>
              <w:bottom w:val="single" w:sz="8" w:color="auto"/>
              <w:right w:val="single" w:sz="8" w:color="auto"/>
            </w:tcBorders>
          </w:tcPr>
          <w:p>
            <w:pPr>
              <w:spacing w:after="0"/>
              <w:rPr>
                <w:sz w:val="17"/>
                <w:szCs w:val="17"/>
                <w:color w:val="auto"/>
              </w:rPr>
            </w:pPr>
          </w:p>
        </w:tc>
      </w:tr>
      <w:tr>
        <w:trPr>
          <w:trHeight w:val="281"/>
        </w:trPr>
        <w:tc>
          <w:tcPr>
            <w:tcW w:w="43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2"/>
                <w:szCs w:val="22"/>
                <w:color w:val="auto"/>
                <w:w w:val="99"/>
              </w:rPr>
              <w:t>Gastos de mantenimiento</w:t>
            </w:r>
          </w:p>
        </w:tc>
        <w:tc>
          <w:tcPr>
            <w:tcW w:w="43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0,00 €</w:t>
            </w:r>
          </w:p>
        </w:tc>
      </w:tr>
      <w:tr>
        <w:trPr>
          <w:trHeight w:val="200"/>
        </w:trPr>
        <w:tc>
          <w:tcPr>
            <w:tcW w:w="4340" w:type="dxa"/>
            <w:vAlign w:val="bottom"/>
            <w:tcBorders>
              <w:left w:val="single" w:sz="8" w:color="auto"/>
              <w:bottom w:val="single" w:sz="8" w:color="auto"/>
              <w:right w:val="single" w:sz="8" w:color="auto"/>
            </w:tcBorders>
          </w:tcPr>
          <w:p>
            <w:pPr>
              <w:spacing w:after="0"/>
              <w:rPr>
                <w:sz w:val="17"/>
                <w:szCs w:val="17"/>
                <w:color w:val="auto"/>
              </w:rPr>
            </w:pPr>
          </w:p>
        </w:tc>
        <w:tc>
          <w:tcPr>
            <w:tcW w:w="4320" w:type="dxa"/>
            <w:vAlign w:val="bottom"/>
            <w:tcBorders>
              <w:bottom w:val="single" w:sz="8" w:color="auto"/>
              <w:right w:val="single" w:sz="8" w:color="auto"/>
            </w:tcBorders>
          </w:tcPr>
          <w:p>
            <w:pPr>
              <w:spacing w:after="0"/>
              <w:rPr>
                <w:sz w:val="17"/>
                <w:szCs w:val="17"/>
                <w:color w:val="auto"/>
              </w:rPr>
            </w:pPr>
          </w:p>
        </w:tc>
      </w:tr>
      <w:tr>
        <w:trPr>
          <w:trHeight w:val="281"/>
        </w:trPr>
        <w:tc>
          <w:tcPr>
            <w:tcW w:w="43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2"/>
                <w:szCs w:val="22"/>
                <w:color w:val="auto"/>
              </w:rPr>
              <w:t>Otros</w:t>
            </w:r>
          </w:p>
        </w:tc>
        <w:tc>
          <w:tcPr>
            <w:tcW w:w="43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0,00 €</w:t>
            </w:r>
          </w:p>
        </w:tc>
      </w:tr>
      <w:tr>
        <w:trPr>
          <w:trHeight w:val="200"/>
        </w:trPr>
        <w:tc>
          <w:tcPr>
            <w:tcW w:w="4340" w:type="dxa"/>
            <w:vAlign w:val="bottom"/>
            <w:tcBorders>
              <w:left w:val="single" w:sz="8" w:color="auto"/>
              <w:bottom w:val="single" w:sz="8" w:color="auto"/>
              <w:right w:val="single" w:sz="8" w:color="auto"/>
            </w:tcBorders>
          </w:tcPr>
          <w:p>
            <w:pPr>
              <w:spacing w:after="0"/>
              <w:rPr>
                <w:sz w:val="17"/>
                <w:szCs w:val="17"/>
                <w:color w:val="auto"/>
              </w:rPr>
            </w:pPr>
          </w:p>
        </w:tc>
        <w:tc>
          <w:tcPr>
            <w:tcW w:w="4320" w:type="dxa"/>
            <w:vAlign w:val="bottom"/>
            <w:tcBorders>
              <w:bottom w:val="single" w:sz="8" w:color="auto"/>
              <w:right w:val="single" w:sz="8" w:color="auto"/>
            </w:tcBorders>
          </w:tcPr>
          <w:p>
            <w:pPr>
              <w:spacing w:after="0"/>
              <w:rPr>
                <w:sz w:val="17"/>
                <w:szCs w:val="17"/>
                <w:color w:val="auto"/>
              </w:rPr>
            </w:pPr>
          </w:p>
        </w:tc>
      </w:tr>
      <w:tr>
        <w:trPr>
          <w:trHeight w:val="243"/>
        </w:trPr>
        <w:tc>
          <w:tcPr>
            <w:tcW w:w="4340" w:type="dxa"/>
            <w:vAlign w:val="bottom"/>
            <w:tcBorders>
              <w:left w:val="single" w:sz="8" w:color="auto"/>
              <w:bottom w:val="single" w:sz="8" w:color="auto"/>
              <w:right w:val="single" w:sz="8" w:color="auto"/>
            </w:tcBorders>
          </w:tcPr>
          <w:p>
            <w:pPr>
              <w:jc w:val="center"/>
              <w:spacing w:after="0" w:line="243" w:lineRule="exact"/>
              <w:rPr>
                <w:sz w:val="20"/>
                <w:szCs w:val="20"/>
                <w:color w:val="auto"/>
              </w:rPr>
            </w:pPr>
            <w:r>
              <w:rPr>
                <w:rFonts w:ascii="Arial" w:cs="Arial" w:eastAsia="Arial" w:hAnsi="Arial"/>
                <w:sz w:val="22"/>
                <w:szCs w:val="22"/>
                <w:color w:val="auto"/>
              </w:rPr>
              <w:t>Total</w:t>
            </w:r>
          </w:p>
        </w:tc>
        <w:tc>
          <w:tcPr>
            <w:tcW w:w="4320" w:type="dxa"/>
            <w:vAlign w:val="bottom"/>
            <w:tcBorders>
              <w:bottom w:val="single" w:sz="8" w:color="auto"/>
              <w:right w:val="single" w:sz="8" w:color="auto"/>
            </w:tcBorders>
          </w:tcPr>
          <w:p>
            <w:pPr>
              <w:ind w:left="100"/>
              <w:spacing w:after="0" w:line="243" w:lineRule="exact"/>
              <w:rPr>
                <w:sz w:val="20"/>
                <w:szCs w:val="20"/>
                <w:color w:val="auto"/>
              </w:rPr>
            </w:pPr>
            <w:r>
              <w:rPr>
                <w:rFonts w:ascii="Arial" w:cs="Arial" w:eastAsia="Arial" w:hAnsi="Arial"/>
                <w:sz w:val="22"/>
                <w:szCs w:val="22"/>
                <w:color w:val="auto"/>
              </w:rPr>
              <w:t>…… €</w:t>
            </w:r>
          </w:p>
        </w:tc>
      </w:tr>
    </w:tbl>
    <w:p>
      <w:pPr>
        <w:spacing w:after="0" w:line="238" w:lineRule="exact"/>
        <w:rPr>
          <w:sz w:val="20"/>
          <w:szCs w:val="20"/>
          <w:color w:val="auto"/>
        </w:rPr>
      </w:pPr>
    </w:p>
    <w:p>
      <w:pPr>
        <w:jc w:val="both"/>
        <w:ind w:left="120"/>
        <w:spacing w:after="0" w:line="250" w:lineRule="auto"/>
        <w:rPr>
          <w:sz w:val="20"/>
          <w:szCs w:val="20"/>
          <w:color w:val="auto"/>
        </w:rPr>
      </w:pPr>
      <w:r>
        <w:rPr>
          <w:rFonts w:ascii="Arial" w:cs="Arial" w:eastAsia="Arial" w:hAnsi="Arial"/>
          <w:sz w:val="22"/>
          <w:szCs w:val="22"/>
          <w:color w:val="auto"/>
        </w:rPr>
        <w:t>Cuarto.- Que las aportaciones realizadas por los usuarios sujetos al del servicio de promoción de autonomía personal _______________en el ejercicio 2020 ascienden a la cantidad de</w:t>
      </w:r>
    </w:p>
    <w:p>
      <w:pPr>
        <w:spacing w:after="0" w:line="1" w:lineRule="exact"/>
        <w:rPr>
          <w:sz w:val="20"/>
          <w:szCs w:val="20"/>
          <w:color w:val="auto"/>
        </w:rPr>
      </w:pPr>
    </w:p>
    <w:p>
      <w:pPr>
        <w:ind w:left="120"/>
        <w:spacing w:after="0"/>
        <w:rPr>
          <w:sz w:val="20"/>
          <w:szCs w:val="20"/>
          <w:color w:val="auto"/>
        </w:rPr>
      </w:pPr>
      <w:r>
        <w:rPr>
          <w:rFonts w:ascii="Arial" w:cs="Arial" w:eastAsia="Arial" w:hAnsi="Arial"/>
          <w:sz w:val="22"/>
          <w:szCs w:val="22"/>
          <w:color w:val="auto"/>
        </w:rPr>
        <w:t>_________________ euros, habiéndose destinado dicha aportación a la ejecución del objeto de la</w:t>
      </w:r>
    </w:p>
    <w:p>
      <w:pPr>
        <w:jc w:val="both"/>
        <w:ind w:left="120"/>
        <w:spacing w:after="0" w:line="247" w:lineRule="auto"/>
        <w:rPr>
          <w:sz w:val="20"/>
          <w:szCs w:val="20"/>
          <w:color w:val="auto"/>
        </w:rPr>
      </w:pPr>
      <w:r>
        <w:rPr>
          <w:rFonts w:ascii="Arial" w:cs="Arial" w:eastAsia="Arial" w:hAnsi="Arial"/>
          <w:sz w:val="22"/>
          <w:szCs w:val="22"/>
          <w:color w:val="auto"/>
        </w:rPr>
        <w:t>subvención (Sólo en el supuesto de que existan aportaciones de los usuarios). Este importe deberá coincidir con el total de las aportaciones certificadas conforme a lo establecido en la Cláusula IV de la Resolución de concesión.</w:t>
      </w:r>
    </w:p>
    <w:p>
      <w:pPr>
        <w:spacing w:after="0" w:line="209" w:lineRule="exact"/>
        <w:rPr>
          <w:sz w:val="20"/>
          <w:szCs w:val="20"/>
          <w:color w:val="auto"/>
        </w:rPr>
      </w:pPr>
    </w:p>
    <w:p>
      <w:pPr>
        <w:jc w:val="both"/>
        <w:ind w:left="120"/>
        <w:spacing w:after="0" w:line="294" w:lineRule="auto"/>
        <w:rPr>
          <w:sz w:val="20"/>
          <w:szCs w:val="20"/>
          <w:color w:val="auto"/>
        </w:rPr>
      </w:pPr>
      <w:r>
        <w:rPr>
          <w:rFonts w:ascii="Arial" w:cs="Arial" w:eastAsia="Arial" w:hAnsi="Arial"/>
          <w:sz w:val="22"/>
          <w:szCs w:val="22"/>
          <w:color w:val="auto"/>
        </w:rPr>
        <w:t>Quinto.- Que Si/No (tachar o eliminar lo que no proceda) se recibieron otras subvenciones, ayudas, ingresos o recursos de instituciones o entidades públicas o privadas para la ejecución del objeto de la subvención (En caso afirmativo indicar su procedencia e importe).</w:t>
      </w:r>
    </w:p>
    <w:p>
      <w:pPr>
        <w:spacing w:after="0" w:line="362" w:lineRule="exact"/>
        <w:rPr>
          <w:sz w:val="20"/>
          <w:szCs w:val="20"/>
          <w:color w:val="auto"/>
        </w:rPr>
      </w:pPr>
    </w:p>
    <w:p>
      <w:pPr>
        <w:ind w:left="822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760"/>
          </w:cols>
          <w:pgMar w:left="102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78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-374015</wp:posOffset>
            </wp:positionV>
            <wp:extent cx="6577965" cy="36322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760"/>
          </w:cols>
          <w:pgMar w:left="1020" w:top="552" w:right="1126" w:bottom="0" w:gutter="0" w:footer="0" w:header="0"/>
          <w:type w:val="continuous"/>
        </w:sectPr>
      </w:pPr>
    </w:p>
    <w:bookmarkStart w:id="24" w:name="page25"/>
    <w:bookmarkEnd w:id="24"/>
    <w:p>
      <w:pPr>
        <w:jc w:val="both"/>
        <w:spacing w:after="0" w:line="312" w:lineRule="auto"/>
        <w:rPr>
          <w:sz w:val="20"/>
          <w:szCs w:val="20"/>
          <w:color w:val="auto"/>
        </w:rPr>
      </w:pPr>
      <w:r>
        <w:rPr>
          <w:rFonts w:ascii="Arial" w:cs="Arial" w:eastAsia="Arial" w:hAnsi="Arial"/>
          <w:sz w:val="22"/>
          <w:szCs w:val="22"/>
          <w:color w:val="auto"/>
        </w:rPr>
        <w:t>Sexto.- Que la aportación de fondos propios en el ejercicio 2020 destinada a la ejecución del objeto de la subvención asciende a _________________ euros.</w:t>
      </w:r>
    </w:p>
    <w:p>
      <w:pPr>
        <w:spacing w:after="0" w:line="200" w:lineRule="exact"/>
        <w:rPr>
          <w:sz w:val="20"/>
          <w:szCs w:val="20"/>
          <w:color w:val="auto"/>
        </w:rPr>
      </w:pPr>
    </w:p>
    <w:p>
      <w:pPr>
        <w:spacing w:after="0" w:line="200" w:lineRule="exact"/>
        <w:rPr>
          <w:sz w:val="20"/>
          <w:szCs w:val="20"/>
          <w:color w:val="auto"/>
        </w:rPr>
      </w:pPr>
    </w:p>
    <w:p>
      <w:pPr>
        <w:spacing w:after="0" w:line="215" w:lineRule="exact"/>
        <w:rPr>
          <w:sz w:val="20"/>
          <w:szCs w:val="20"/>
          <w:color w:val="auto"/>
        </w:rPr>
      </w:pPr>
    </w:p>
    <w:p>
      <w:pPr>
        <w:jc w:val="both"/>
        <w:spacing w:after="0" w:line="288" w:lineRule="auto"/>
        <w:rPr>
          <w:sz w:val="20"/>
          <w:szCs w:val="20"/>
          <w:color w:val="auto"/>
        </w:rPr>
      </w:pPr>
      <w:r>
        <w:rPr>
          <w:rFonts w:ascii="Arial" w:cs="Arial" w:eastAsia="Arial" w:hAnsi="Arial"/>
          <w:sz w:val="22"/>
          <w:szCs w:val="22"/>
          <w:color w:val="auto"/>
        </w:rPr>
        <w:t>Séptima.- Que Sí / No (tachar o eliminar lo que no proceda), se obtuvieron ingresos específicos obtenidos del desarrollo de la actividad subvencionada (Si se obtuvieron ingresos específicos indicar su importe, descripción y acreditación expresa de que dichos ingresos han sido destinados a la ejecución del objeto de la subvención).</w:t>
      </w: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jc w:val="both"/>
        <w:spacing w:after="0" w:line="312" w:lineRule="auto"/>
        <w:rPr>
          <w:sz w:val="20"/>
          <w:szCs w:val="20"/>
          <w:color w:val="auto"/>
        </w:rPr>
      </w:pPr>
      <w:r>
        <w:rPr>
          <w:rFonts w:ascii="Arial" w:cs="Arial" w:eastAsia="Arial" w:hAnsi="Arial"/>
          <w:sz w:val="22"/>
          <w:szCs w:val="22"/>
          <w:color w:val="auto"/>
        </w:rPr>
        <w:t>Octavo.- Que el desglose de los gastos y su imputación a los diferentes ingresos/aportaciones, incluido los fondos propios, es el que se detalla en los Anexos III y IV.</w:t>
      </w:r>
    </w:p>
    <w:p>
      <w:pPr>
        <w:spacing w:after="0" w:line="377" w:lineRule="exact"/>
        <w:rPr>
          <w:sz w:val="20"/>
          <w:szCs w:val="20"/>
          <w:color w:val="auto"/>
        </w:rPr>
      </w:pPr>
    </w:p>
    <w:p>
      <w:pPr>
        <w:jc w:val="center"/>
        <w:ind w:right="20"/>
        <w:spacing w:after="0" w:line="294" w:lineRule="auto"/>
        <w:rPr>
          <w:sz w:val="20"/>
          <w:szCs w:val="20"/>
          <w:color w:val="auto"/>
        </w:rPr>
      </w:pPr>
      <w:r>
        <w:rPr>
          <w:rFonts w:ascii="Arial" w:cs="Arial" w:eastAsia="Arial" w:hAnsi="Arial"/>
          <w:sz w:val="22"/>
          <w:szCs w:val="22"/>
          <w:color w:val="auto"/>
        </w:rPr>
        <w:t>Y para que conste y surta los efectos oportunos, expido la presente con el visto bueno del/de la Presidente/a, en ___________________________________, a ____, de __________________, de 2020.</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jc w:val="center"/>
        <w:ind w:right="4160"/>
        <w:spacing w:after="0"/>
        <w:rPr>
          <w:sz w:val="20"/>
          <w:szCs w:val="20"/>
          <w:color w:val="auto"/>
        </w:rPr>
      </w:pPr>
      <w:r>
        <w:rPr>
          <w:rFonts w:ascii="Arial" w:cs="Arial" w:eastAsia="Arial" w:hAnsi="Arial"/>
          <w:sz w:val="22"/>
          <w:szCs w:val="22"/>
          <w:color w:val="auto"/>
        </w:rPr>
        <w:t>Vº Bº</w:t>
      </w:r>
    </w:p>
    <w:p>
      <w:pPr>
        <w:spacing w:after="0" w:line="238" w:lineRule="exact"/>
        <w:rPr>
          <w:sz w:val="20"/>
          <w:szCs w:val="20"/>
          <w:color w:val="auto"/>
        </w:rPr>
      </w:pPr>
    </w:p>
    <w:p>
      <w:pPr>
        <w:jc w:val="center"/>
        <w:ind w:right="4160"/>
        <w:spacing w:after="0"/>
        <w:rPr>
          <w:sz w:val="20"/>
          <w:szCs w:val="20"/>
          <w:color w:val="auto"/>
        </w:rPr>
      </w:pPr>
      <w:r>
        <w:rPr>
          <w:rFonts w:ascii="Arial" w:cs="Arial" w:eastAsia="Arial" w:hAnsi="Arial"/>
          <w:sz w:val="22"/>
          <w:szCs w:val="22"/>
          <w:color w:val="auto"/>
        </w:rPr>
        <w:t>Presidente/a</w:t>
      </w:r>
    </w:p>
    <w:p>
      <w:pPr>
        <w:spacing w:after="0" w:line="238" w:lineRule="exact"/>
        <w:rPr>
          <w:sz w:val="20"/>
          <w:szCs w:val="20"/>
          <w:color w:val="auto"/>
        </w:rPr>
      </w:pPr>
    </w:p>
    <w:p>
      <w:pPr>
        <w:ind w:left="760"/>
        <w:spacing w:after="0"/>
        <w:tabs>
          <w:tab w:leader="none" w:pos="6280" w:val="left"/>
        </w:tabs>
        <w:rPr>
          <w:sz w:val="20"/>
          <w:szCs w:val="20"/>
          <w:color w:val="auto"/>
        </w:rPr>
      </w:pPr>
      <w:r>
        <w:rPr>
          <w:rFonts w:ascii="Arial" w:cs="Arial" w:eastAsia="Arial" w:hAnsi="Arial"/>
          <w:sz w:val="22"/>
          <w:szCs w:val="22"/>
          <w:color w:val="auto"/>
        </w:rPr>
        <w:t>(nombre y apellidos del Presidente/a)</w:t>
      </w:r>
      <w:r>
        <w:rPr>
          <w:sz w:val="20"/>
          <w:szCs w:val="20"/>
          <w:color w:val="auto"/>
        </w:rPr>
        <w:tab/>
      </w:r>
      <w:r>
        <w:rPr>
          <w:rFonts w:ascii="Arial" w:cs="Arial" w:eastAsia="Arial" w:hAnsi="Arial"/>
          <w:sz w:val="21"/>
          <w:szCs w:val="21"/>
          <w:color w:val="auto"/>
        </w:rPr>
        <w:t>(firma y sello Secretario/a)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25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805"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805" w:right="1126" w:bottom="0" w:gutter="0" w:footer="0" w:header="0"/>
          <w:type w:val="continuous"/>
        </w:sectPr>
      </w:pPr>
    </w:p>
    <w:bookmarkStart w:id="25" w:name="page26"/>
    <w:bookmarkEnd w:id="25"/>
    <w:p>
      <w:pPr>
        <w:spacing w:after="0" w:line="94" w:lineRule="exact"/>
        <w:rPr>
          <w:sz w:val="20"/>
          <w:szCs w:val="20"/>
          <w:color w:val="auto"/>
        </w:rPr>
      </w:pPr>
    </w:p>
    <w:p>
      <w:pPr>
        <w:jc w:val="center"/>
        <w:ind w:right="320"/>
        <w:spacing w:after="0"/>
        <w:rPr>
          <w:sz w:val="20"/>
          <w:szCs w:val="20"/>
          <w:color w:val="auto"/>
        </w:rPr>
      </w:pPr>
      <w:r>
        <w:rPr>
          <w:rFonts w:ascii="Arial" w:cs="Arial" w:eastAsia="Arial" w:hAnsi="Arial"/>
          <w:sz w:val="22"/>
          <w:szCs w:val="22"/>
          <w:color w:val="auto"/>
        </w:rPr>
        <w:t>ANEXO II</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0" w:lineRule="exact"/>
        <w:rPr>
          <w:sz w:val="20"/>
          <w:szCs w:val="20"/>
          <w:color w:val="auto"/>
        </w:rPr>
      </w:pPr>
    </w:p>
    <w:p>
      <w:pPr>
        <w:jc w:val="center"/>
        <w:ind w:right="300"/>
        <w:spacing w:after="0"/>
        <w:rPr>
          <w:sz w:val="20"/>
          <w:szCs w:val="20"/>
          <w:color w:val="auto"/>
        </w:rPr>
      </w:pPr>
      <w:r>
        <w:rPr>
          <w:rFonts w:ascii="Arial" w:cs="Arial" w:eastAsia="Arial" w:hAnsi="Arial"/>
          <w:sz w:val="22"/>
          <w:szCs w:val="22"/>
          <w:color w:val="auto"/>
        </w:rPr>
        <w:t>MEMORIA TÉCNICA ANUAL</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121285</wp:posOffset>
                </wp:positionH>
                <wp:positionV relativeFrom="paragraph">
                  <wp:posOffset>-157480</wp:posOffset>
                </wp:positionV>
                <wp:extent cx="0" cy="32385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5pt,-12.3999pt" to="9.55pt,13.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5610225</wp:posOffset>
                </wp:positionH>
                <wp:positionV relativeFrom="paragraph">
                  <wp:posOffset>-157480</wp:posOffset>
                </wp:positionV>
                <wp:extent cx="0" cy="32385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1.75pt,-12.3999pt" to="441.75pt,13.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118110</wp:posOffset>
                </wp:positionH>
                <wp:positionV relativeFrom="paragraph">
                  <wp:posOffset>-154305</wp:posOffset>
                </wp:positionV>
                <wp:extent cx="5495290" cy="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pt,-12.1499pt" to="442pt,-12.1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118110</wp:posOffset>
                </wp:positionH>
                <wp:positionV relativeFrom="paragraph">
                  <wp:posOffset>163195</wp:posOffset>
                </wp:positionV>
                <wp:extent cx="5495290" cy="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pt,12.85pt" to="442pt,12.85pt" o:allowincell="f" strokecolor="#000000" strokeweight="0.5pt"/>
            </w:pict>
          </mc:Fallback>
        </mc:AlternateContent>
        <w:drawing>
          <wp:anchor simplePos="0" relativeHeight="251657728" behindDoc="1" locked="0" layoutInCell="0" allowOverlap="1">
            <wp:simplePos x="0" y="0"/>
            <wp:positionH relativeFrom="column">
              <wp:posOffset>87630</wp:posOffset>
            </wp:positionH>
            <wp:positionV relativeFrom="paragraph">
              <wp:posOffset>784225</wp:posOffset>
            </wp:positionV>
            <wp:extent cx="5549900" cy="147637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a:extLst>
                        <a:ext uri="{28A0092B-C50C-407E-A947-70E740481C1C}"/>
                      </a:extLst>
                    </a:blip>
                    <a:srcRect/>
                    <a:stretch>
                      <a:fillRect/>
                    </a:stretch>
                  </pic:blipFill>
                  <pic:spPr bwMode="auto">
                    <a:xfrm>
                      <a:off x="0" y="0"/>
                      <a:ext cx="5549900" cy="147637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jc w:val="center"/>
        <w:ind w:right="6020"/>
        <w:spacing w:after="0"/>
        <w:rPr>
          <w:sz w:val="20"/>
          <w:szCs w:val="20"/>
          <w:color w:val="auto"/>
        </w:rPr>
      </w:pPr>
      <w:r>
        <w:rPr>
          <w:rFonts w:ascii="Arial" w:cs="Arial" w:eastAsia="Arial" w:hAnsi="Arial"/>
          <w:sz w:val="22"/>
          <w:szCs w:val="22"/>
          <w:color w:val="auto"/>
        </w:rPr>
        <w:t>DENOMINACIÓN DEL</w:t>
      </w:r>
    </w:p>
    <w:p>
      <w:pPr>
        <w:spacing w:after="0" w:line="38" w:lineRule="exact"/>
        <w:rPr>
          <w:sz w:val="20"/>
          <w:szCs w:val="20"/>
          <w:color w:val="auto"/>
        </w:rPr>
      </w:pPr>
    </w:p>
    <w:p>
      <w:pPr>
        <w:jc w:val="center"/>
        <w:ind w:right="6020"/>
        <w:spacing w:after="0"/>
        <w:rPr>
          <w:sz w:val="20"/>
          <w:szCs w:val="20"/>
          <w:color w:val="auto"/>
        </w:rPr>
      </w:pPr>
      <w:r>
        <w:rPr>
          <w:rFonts w:ascii="Arial" w:cs="Arial" w:eastAsia="Arial" w:hAnsi="Arial"/>
          <w:sz w:val="22"/>
          <w:szCs w:val="22"/>
          <w:color w:val="auto"/>
        </w:rPr>
        <w:t>SERVICIO</w:t>
      </w:r>
    </w:p>
    <w:p>
      <w:pPr>
        <w:spacing w:after="0" w:line="233" w:lineRule="exact"/>
        <w:rPr>
          <w:sz w:val="20"/>
          <w:szCs w:val="20"/>
          <w:color w:val="auto"/>
        </w:rPr>
      </w:pPr>
    </w:p>
    <w:tbl>
      <w:tblPr>
        <w:tblLayout w:type="fixed"/>
        <w:tblInd w:w="140" w:type="dxa"/>
        <w:tblCellMar>
          <w:top w:w="0" w:type="dxa"/>
          <w:left w:w="0" w:type="dxa"/>
          <w:bottom w:w="0" w:type="dxa"/>
          <w:right w:w="0" w:type="dxa"/>
        </w:tblCellMar>
      </w:tblPr>
      <w:tr>
        <w:trPr>
          <w:trHeight w:val="301"/>
        </w:trPr>
        <w:tc>
          <w:tcPr>
            <w:tcW w:w="1500" w:type="dxa"/>
            <w:vAlign w:val="bottom"/>
            <w:tcBorders>
              <w:top w:val="single" w:sz="8" w:color="auto"/>
              <w:right w:val="single" w:sz="8" w:color="auto"/>
            </w:tcBorders>
          </w:tcPr>
          <w:p>
            <w:pPr>
              <w:jc w:val="center"/>
              <w:spacing w:after="0"/>
              <w:rPr>
                <w:sz w:val="20"/>
                <w:szCs w:val="20"/>
                <w:color w:val="auto"/>
              </w:rPr>
            </w:pPr>
            <w:r>
              <w:rPr>
                <w:rFonts w:ascii="Arial" w:cs="Arial" w:eastAsia="Arial" w:hAnsi="Arial"/>
                <w:sz w:val="22"/>
                <w:szCs w:val="22"/>
                <w:color w:val="auto"/>
                <w:w w:val="99"/>
              </w:rPr>
              <w:t>LOCALIDAD</w:t>
            </w:r>
          </w:p>
        </w:tc>
        <w:tc>
          <w:tcPr>
            <w:tcW w:w="412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120" w:type="dxa"/>
            <w:vAlign w:val="bottom"/>
            <w:tcBorders>
              <w:top w:val="single" w:sz="8" w:color="auto"/>
              <w:right w:val="single" w:sz="8" w:color="auto"/>
            </w:tcBorders>
          </w:tcPr>
          <w:p>
            <w:pPr>
              <w:spacing w:after="0"/>
              <w:rPr>
                <w:sz w:val="24"/>
                <w:szCs w:val="24"/>
                <w:color w:val="auto"/>
              </w:rPr>
            </w:pPr>
          </w:p>
        </w:tc>
        <w:tc>
          <w:tcPr>
            <w:tcW w:w="700" w:type="dxa"/>
            <w:vAlign w:val="bottom"/>
            <w:tcBorders>
              <w:top w:val="single" w:sz="8" w:color="auto"/>
              <w:right w:val="single" w:sz="8" w:color="auto"/>
            </w:tcBorders>
          </w:tcPr>
          <w:p>
            <w:pPr>
              <w:ind w:left="180"/>
              <w:spacing w:after="0"/>
              <w:rPr>
                <w:sz w:val="20"/>
                <w:szCs w:val="20"/>
                <w:color w:val="auto"/>
              </w:rPr>
            </w:pPr>
            <w:r>
              <w:rPr>
                <w:rFonts w:ascii="Arial" w:cs="Arial" w:eastAsia="Arial" w:hAnsi="Arial"/>
                <w:sz w:val="22"/>
                <w:szCs w:val="22"/>
                <w:color w:val="auto"/>
              </w:rPr>
              <w:t>CP</w:t>
            </w:r>
          </w:p>
        </w:tc>
        <w:tc>
          <w:tcPr>
            <w:tcW w:w="1280" w:type="dxa"/>
            <w:vAlign w:val="bottom"/>
            <w:tcBorders>
              <w:top w:val="single" w:sz="8" w:color="auto"/>
            </w:tcBorders>
          </w:tcPr>
          <w:p>
            <w:pPr>
              <w:spacing w:after="0"/>
              <w:rPr>
                <w:sz w:val="24"/>
                <w:szCs w:val="24"/>
                <w:color w:val="auto"/>
              </w:rPr>
            </w:pPr>
          </w:p>
        </w:tc>
      </w:tr>
      <w:tr>
        <w:trPr>
          <w:trHeight w:val="200"/>
        </w:trPr>
        <w:tc>
          <w:tcPr>
            <w:tcW w:w="1500" w:type="dxa"/>
            <w:vAlign w:val="bottom"/>
            <w:tcBorders>
              <w:bottom w:val="single" w:sz="8" w:color="auto"/>
              <w:right w:val="single" w:sz="8" w:color="auto"/>
            </w:tcBorders>
          </w:tcPr>
          <w:p>
            <w:pPr>
              <w:spacing w:after="0"/>
              <w:rPr>
                <w:sz w:val="17"/>
                <w:szCs w:val="17"/>
                <w:color w:val="auto"/>
              </w:rPr>
            </w:pPr>
          </w:p>
        </w:tc>
        <w:tc>
          <w:tcPr>
            <w:tcW w:w="4120" w:type="dxa"/>
            <w:vAlign w:val="bottom"/>
            <w:tcBorders>
              <w:bottom w:val="single" w:sz="8" w:color="auto"/>
            </w:tcBorders>
          </w:tcPr>
          <w:p>
            <w:pPr>
              <w:spacing w:after="0"/>
              <w:rPr>
                <w:sz w:val="17"/>
                <w:szCs w:val="17"/>
                <w:color w:val="auto"/>
              </w:rPr>
            </w:pPr>
          </w:p>
        </w:tc>
        <w:tc>
          <w:tcPr>
            <w:tcW w:w="1020" w:type="dxa"/>
            <w:vAlign w:val="bottom"/>
            <w:tcBorders>
              <w:bottom w:val="single" w:sz="8" w:color="auto"/>
            </w:tcBorders>
          </w:tcPr>
          <w:p>
            <w:pPr>
              <w:spacing w:after="0"/>
              <w:rPr>
                <w:sz w:val="17"/>
                <w:szCs w:val="17"/>
                <w:color w:val="auto"/>
              </w:rPr>
            </w:pPr>
          </w:p>
        </w:tc>
        <w:tc>
          <w:tcPr>
            <w:tcW w:w="120" w:type="dxa"/>
            <w:vAlign w:val="bottom"/>
            <w:tcBorders>
              <w:bottom w:val="single" w:sz="8" w:color="auto"/>
              <w:right w:val="single" w:sz="8" w:color="auto"/>
            </w:tcBorders>
          </w:tcPr>
          <w:p>
            <w:pPr>
              <w:spacing w:after="0"/>
              <w:rPr>
                <w:sz w:val="17"/>
                <w:szCs w:val="17"/>
                <w:color w:val="auto"/>
              </w:rPr>
            </w:pPr>
          </w:p>
        </w:tc>
        <w:tc>
          <w:tcPr>
            <w:tcW w:w="700" w:type="dxa"/>
            <w:vAlign w:val="bottom"/>
            <w:tcBorders>
              <w:bottom w:val="single" w:sz="8" w:color="auto"/>
              <w:right w:val="single" w:sz="8" w:color="auto"/>
            </w:tcBorders>
          </w:tcPr>
          <w:p>
            <w:pPr>
              <w:spacing w:after="0"/>
              <w:rPr>
                <w:sz w:val="17"/>
                <w:szCs w:val="17"/>
                <w:color w:val="auto"/>
              </w:rPr>
            </w:pPr>
          </w:p>
        </w:tc>
        <w:tc>
          <w:tcPr>
            <w:tcW w:w="1280" w:type="dxa"/>
            <w:vAlign w:val="bottom"/>
            <w:tcBorders>
              <w:bottom w:val="single" w:sz="8" w:color="auto"/>
            </w:tcBorders>
          </w:tcPr>
          <w:p>
            <w:pPr>
              <w:spacing w:after="0"/>
              <w:rPr>
                <w:sz w:val="17"/>
                <w:szCs w:val="17"/>
                <w:color w:val="auto"/>
              </w:rPr>
            </w:pPr>
          </w:p>
        </w:tc>
      </w:tr>
      <w:tr>
        <w:trPr>
          <w:trHeight w:val="281"/>
        </w:trPr>
        <w:tc>
          <w:tcPr>
            <w:tcW w:w="1500" w:type="dxa"/>
            <w:vAlign w:val="bottom"/>
            <w:tcBorders>
              <w:right w:val="single" w:sz="8" w:color="auto"/>
            </w:tcBorders>
          </w:tcPr>
          <w:p>
            <w:pPr>
              <w:jc w:val="center"/>
              <w:spacing w:after="0"/>
              <w:rPr>
                <w:sz w:val="20"/>
                <w:szCs w:val="20"/>
                <w:color w:val="auto"/>
              </w:rPr>
            </w:pPr>
            <w:r>
              <w:rPr>
                <w:rFonts w:ascii="Arial" w:cs="Arial" w:eastAsia="Arial" w:hAnsi="Arial"/>
                <w:sz w:val="22"/>
                <w:szCs w:val="22"/>
                <w:color w:val="auto"/>
              </w:rPr>
              <w:t>DIRECCIÓN</w:t>
            </w:r>
          </w:p>
        </w:tc>
        <w:tc>
          <w:tcPr>
            <w:tcW w:w="41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1280" w:type="dxa"/>
            <w:vAlign w:val="bottom"/>
          </w:tcPr>
          <w:p>
            <w:pPr>
              <w:spacing w:after="0"/>
              <w:rPr>
                <w:sz w:val="24"/>
                <w:szCs w:val="24"/>
                <w:color w:val="auto"/>
              </w:rPr>
            </w:pPr>
          </w:p>
        </w:tc>
      </w:tr>
      <w:tr>
        <w:trPr>
          <w:trHeight w:val="200"/>
        </w:trPr>
        <w:tc>
          <w:tcPr>
            <w:tcW w:w="1500" w:type="dxa"/>
            <w:vAlign w:val="bottom"/>
            <w:tcBorders>
              <w:bottom w:val="single" w:sz="8" w:color="auto"/>
              <w:right w:val="single" w:sz="8" w:color="auto"/>
            </w:tcBorders>
          </w:tcPr>
          <w:p>
            <w:pPr>
              <w:spacing w:after="0"/>
              <w:rPr>
                <w:sz w:val="17"/>
                <w:szCs w:val="17"/>
                <w:color w:val="auto"/>
              </w:rPr>
            </w:pPr>
          </w:p>
        </w:tc>
        <w:tc>
          <w:tcPr>
            <w:tcW w:w="4120" w:type="dxa"/>
            <w:vAlign w:val="bottom"/>
            <w:tcBorders>
              <w:bottom w:val="single" w:sz="8" w:color="auto"/>
            </w:tcBorders>
          </w:tcPr>
          <w:p>
            <w:pPr>
              <w:spacing w:after="0"/>
              <w:rPr>
                <w:sz w:val="17"/>
                <w:szCs w:val="17"/>
                <w:color w:val="auto"/>
              </w:rPr>
            </w:pPr>
          </w:p>
        </w:tc>
        <w:tc>
          <w:tcPr>
            <w:tcW w:w="1020" w:type="dxa"/>
            <w:vAlign w:val="bottom"/>
            <w:tcBorders>
              <w:bottom w:val="single" w:sz="8" w:color="auto"/>
            </w:tcBorders>
          </w:tcPr>
          <w:p>
            <w:pPr>
              <w:spacing w:after="0"/>
              <w:rPr>
                <w:sz w:val="17"/>
                <w:szCs w:val="17"/>
                <w:color w:val="auto"/>
              </w:rPr>
            </w:pPr>
          </w:p>
        </w:tc>
        <w:tc>
          <w:tcPr>
            <w:tcW w:w="820" w:type="dxa"/>
            <w:vAlign w:val="bottom"/>
            <w:tcBorders>
              <w:bottom w:val="single" w:sz="8" w:color="auto"/>
            </w:tcBorders>
            <w:gridSpan w:val="2"/>
          </w:tcPr>
          <w:p>
            <w:pPr>
              <w:spacing w:after="0"/>
              <w:rPr>
                <w:sz w:val="17"/>
                <w:szCs w:val="17"/>
                <w:color w:val="auto"/>
              </w:rPr>
            </w:pPr>
          </w:p>
        </w:tc>
        <w:tc>
          <w:tcPr>
            <w:tcW w:w="1280" w:type="dxa"/>
            <w:vAlign w:val="bottom"/>
            <w:tcBorders>
              <w:bottom w:val="single" w:sz="8" w:color="auto"/>
            </w:tcBorders>
          </w:tcPr>
          <w:p>
            <w:pPr>
              <w:spacing w:after="0"/>
              <w:rPr>
                <w:sz w:val="17"/>
                <w:szCs w:val="17"/>
                <w:color w:val="auto"/>
              </w:rPr>
            </w:pPr>
          </w:p>
        </w:tc>
      </w:tr>
      <w:tr>
        <w:trPr>
          <w:trHeight w:val="281"/>
        </w:trPr>
        <w:tc>
          <w:tcPr>
            <w:tcW w:w="1500" w:type="dxa"/>
            <w:vAlign w:val="bottom"/>
            <w:tcBorders>
              <w:right w:val="single" w:sz="8" w:color="auto"/>
            </w:tcBorders>
          </w:tcPr>
          <w:p>
            <w:pPr>
              <w:jc w:val="center"/>
              <w:spacing w:after="0"/>
              <w:rPr>
                <w:sz w:val="20"/>
                <w:szCs w:val="20"/>
                <w:color w:val="auto"/>
              </w:rPr>
            </w:pPr>
            <w:r>
              <w:rPr>
                <w:rFonts w:ascii="Arial" w:cs="Arial" w:eastAsia="Arial" w:hAnsi="Arial"/>
                <w:sz w:val="22"/>
                <w:szCs w:val="22"/>
                <w:color w:val="auto"/>
              </w:rPr>
              <w:t>e-mail</w:t>
            </w:r>
          </w:p>
        </w:tc>
        <w:tc>
          <w:tcPr>
            <w:tcW w:w="4120" w:type="dxa"/>
            <w:vAlign w:val="bottom"/>
            <w:tcBorders>
              <w:right w:val="single" w:sz="8" w:color="auto"/>
            </w:tcBorders>
          </w:tcPr>
          <w:p>
            <w:pPr>
              <w:spacing w:after="0"/>
              <w:rPr>
                <w:sz w:val="24"/>
                <w:szCs w:val="24"/>
                <w:color w:val="auto"/>
              </w:rPr>
            </w:pPr>
          </w:p>
        </w:tc>
        <w:tc>
          <w:tcPr>
            <w:tcW w:w="10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TFNOS:</w:t>
            </w:r>
          </w:p>
        </w:tc>
        <w:tc>
          <w:tcPr>
            <w:tcW w:w="12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1280" w:type="dxa"/>
            <w:vAlign w:val="bottom"/>
          </w:tcPr>
          <w:p>
            <w:pPr>
              <w:spacing w:after="0"/>
              <w:rPr>
                <w:sz w:val="24"/>
                <w:szCs w:val="24"/>
                <w:color w:val="auto"/>
              </w:rPr>
            </w:pPr>
          </w:p>
        </w:tc>
      </w:tr>
      <w:tr>
        <w:trPr>
          <w:trHeight w:val="200"/>
        </w:trPr>
        <w:tc>
          <w:tcPr>
            <w:tcW w:w="1500" w:type="dxa"/>
            <w:vAlign w:val="bottom"/>
            <w:tcBorders>
              <w:bottom w:val="single" w:sz="8" w:color="auto"/>
              <w:right w:val="single" w:sz="8" w:color="auto"/>
            </w:tcBorders>
          </w:tcPr>
          <w:p>
            <w:pPr>
              <w:spacing w:after="0"/>
              <w:rPr>
                <w:sz w:val="17"/>
                <w:szCs w:val="17"/>
                <w:color w:val="auto"/>
              </w:rPr>
            </w:pPr>
          </w:p>
        </w:tc>
        <w:tc>
          <w:tcPr>
            <w:tcW w:w="4120" w:type="dxa"/>
            <w:vAlign w:val="bottom"/>
            <w:tcBorders>
              <w:bottom w:val="single" w:sz="8" w:color="auto"/>
              <w:right w:val="single" w:sz="8" w:color="auto"/>
            </w:tcBorders>
          </w:tcPr>
          <w:p>
            <w:pPr>
              <w:spacing w:after="0"/>
              <w:rPr>
                <w:sz w:val="17"/>
                <w:szCs w:val="17"/>
                <w:color w:val="auto"/>
              </w:rPr>
            </w:pPr>
          </w:p>
        </w:tc>
        <w:tc>
          <w:tcPr>
            <w:tcW w:w="1020" w:type="dxa"/>
            <w:vAlign w:val="bottom"/>
            <w:tcBorders>
              <w:bottom w:val="single" w:sz="8" w:color="auto"/>
              <w:right w:val="single" w:sz="8" w:color="auto"/>
            </w:tcBorders>
          </w:tcPr>
          <w:p>
            <w:pPr>
              <w:spacing w:after="0"/>
              <w:rPr>
                <w:sz w:val="17"/>
                <w:szCs w:val="17"/>
                <w:color w:val="auto"/>
              </w:rPr>
            </w:pPr>
          </w:p>
        </w:tc>
        <w:tc>
          <w:tcPr>
            <w:tcW w:w="120" w:type="dxa"/>
            <w:vAlign w:val="bottom"/>
            <w:tcBorders>
              <w:bottom w:val="single" w:sz="8" w:color="auto"/>
            </w:tcBorders>
          </w:tcPr>
          <w:p>
            <w:pPr>
              <w:spacing w:after="0"/>
              <w:rPr>
                <w:sz w:val="17"/>
                <w:szCs w:val="17"/>
                <w:color w:val="auto"/>
              </w:rPr>
            </w:pPr>
          </w:p>
        </w:tc>
        <w:tc>
          <w:tcPr>
            <w:tcW w:w="700" w:type="dxa"/>
            <w:vAlign w:val="bottom"/>
            <w:tcBorders>
              <w:bottom w:val="single" w:sz="8" w:color="auto"/>
            </w:tcBorders>
          </w:tcPr>
          <w:p>
            <w:pPr>
              <w:spacing w:after="0"/>
              <w:rPr>
                <w:sz w:val="17"/>
                <w:szCs w:val="17"/>
                <w:color w:val="auto"/>
              </w:rPr>
            </w:pPr>
          </w:p>
        </w:tc>
        <w:tc>
          <w:tcPr>
            <w:tcW w:w="1280" w:type="dxa"/>
            <w:vAlign w:val="bottom"/>
            <w:tcBorders>
              <w:bottom w:val="single" w:sz="8" w:color="auto"/>
            </w:tcBorders>
          </w:tcPr>
          <w:p>
            <w:pPr>
              <w:spacing w:after="0"/>
              <w:rPr>
                <w:sz w:val="17"/>
                <w:szCs w:val="17"/>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111760</wp:posOffset>
            </wp:positionH>
            <wp:positionV relativeFrom="paragraph">
              <wp:posOffset>305435</wp:posOffset>
            </wp:positionV>
            <wp:extent cx="5501640" cy="102489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a:extLst>
                        <a:ext uri="{28A0092B-C50C-407E-A947-70E740481C1C}"/>
                      </a:extLst>
                    </a:blip>
                    <a:srcRect/>
                    <a:stretch>
                      <a:fillRect/>
                    </a:stretch>
                  </pic:blipFill>
                  <pic:spPr bwMode="auto">
                    <a:xfrm>
                      <a:off x="0" y="0"/>
                      <a:ext cx="5501640" cy="1024890"/>
                    </a:xfrm>
                    <a:prstGeom prst="rect">
                      <a:avLst/>
                    </a:prstGeom>
                    <a:noFill/>
                  </pic:spPr>
                </pic:pic>
              </a:graphicData>
            </a:graphic>
          </wp:anchor>
        </w:drawing>
      </w:r>
    </w:p>
    <w:p>
      <w:pPr>
        <w:spacing w:after="0" w:line="200" w:lineRule="exact"/>
        <w:rPr>
          <w:sz w:val="20"/>
          <w:szCs w:val="20"/>
          <w:color w:val="auto"/>
        </w:rPr>
      </w:pPr>
    </w:p>
    <w:p>
      <w:pPr>
        <w:spacing w:after="0" w:line="266" w:lineRule="exact"/>
        <w:rPr>
          <w:sz w:val="20"/>
          <w:szCs w:val="20"/>
          <w:color w:val="auto"/>
        </w:rPr>
      </w:pPr>
    </w:p>
    <w:p>
      <w:pPr>
        <w:jc w:val="center"/>
        <w:ind w:right="6340"/>
        <w:spacing w:after="0"/>
        <w:rPr>
          <w:sz w:val="20"/>
          <w:szCs w:val="20"/>
          <w:color w:val="auto"/>
        </w:rPr>
      </w:pPr>
      <w:r>
        <w:rPr>
          <w:rFonts w:ascii="Arial" w:cs="Arial" w:eastAsia="Arial" w:hAnsi="Arial"/>
          <w:sz w:val="22"/>
          <w:szCs w:val="22"/>
          <w:color w:val="auto"/>
        </w:rPr>
        <w:t>DIRECTOR/A DEL</w:t>
      </w:r>
    </w:p>
    <w:p>
      <w:pPr>
        <w:spacing w:after="0" w:line="38" w:lineRule="exact"/>
        <w:rPr>
          <w:sz w:val="20"/>
          <w:szCs w:val="20"/>
          <w:color w:val="auto"/>
        </w:rPr>
      </w:pPr>
    </w:p>
    <w:p>
      <w:pPr>
        <w:jc w:val="center"/>
        <w:ind w:right="6340"/>
        <w:spacing w:after="0"/>
        <w:rPr>
          <w:sz w:val="20"/>
          <w:szCs w:val="20"/>
          <w:color w:val="auto"/>
        </w:rPr>
      </w:pPr>
      <w:r>
        <w:rPr>
          <w:rFonts w:ascii="Arial" w:cs="Arial" w:eastAsia="Arial" w:hAnsi="Arial"/>
          <w:sz w:val="22"/>
          <w:szCs w:val="22"/>
          <w:color w:val="auto"/>
        </w:rPr>
        <w:t>SERVICIO</w:t>
      </w:r>
    </w:p>
    <w:p>
      <w:pPr>
        <w:spacing w:after="0" w:line="248" w:lineRule="exact"/>
        <w:rPr>
          <w:sz w:val="20"/>
          <w:szCs w:val="20"/>
          <w:color w:val="auto"/>
        </w:rPr>
      </w:pPr>
    </w:p>
    <w:p>
      <w:pPr>
        <w:jc w:val="center"/>
        <w:ind w:right="6340"/>
        <w:spacing w:after="0"/>
        <w:rPr>
          <w:sz w:val="20"/>
          <w:szCs w:val="20"/>
          <w:color w:val="auto"/>
        </w:rPr>
      </w:pPr>
      <w:r>
        <w:rPr>
          <w:rFonts w:ascii="Arial" w:cs="Arial" w:eastAsia="Arial" w:hAnsi="Arial"/>
          <w:sz w:val="22"/>
          <w:szCs w:val="22"/>
          <w:color w:val="auto"/>
        </w:rPr>
        <w:t>CATEGORÍA</w:t>
      </w:r>
    </w:p>
    <w:p>
      <w:pPr>
        <w:spacing w:after="0" w:line="38" w:lineRule="exact"/>
        <w:rPr>
          <w:sz w:val="20"/>
          <w:szCs w:val="20"/>
          <w:color w:val="auto"/>
        </w:rPr>
      </w:pPr>
    </w:p>
    <w:p>
      <w:pPr>
        <w:jc w:val="center"/>
        <w:ind w:right="6340"/>
        <w:spacing w:after="0"/>
        <w:rPr>
          <w:sz w:val="20"/>
          <w:szCs w:val="20"/>
          <w:color w:val="auto"/>
        </w:rPr>
      </w:pPr>
      <w:r>
        <w:rPr>
          <w:rFonts w:ascii="Arial" w:cs="Arial" w:eastAsia="Arial" w:hAnsi="Arial"/>
          <w:sz w:val="22"/>
          <w:szCs w:val="22"/>
          <w:color w:val="auto"/>
        </w:rPr>
        <w:t>PROFESIONAL</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111760</wp:posOffset>
            </wp:positionH>
            <wp:positionV relativeFrom="paragraph">
              <wp:posOffset>471805</wp:posOffset>
            </wp:positionV>
            <wp:extent cx="5507990" cy="129159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a:extLst>
                        <a:ext uri="{28A0092B-C50C-407E-A947-70E740481C1C}"/>
                      </a:extLst>
                    </a:blip>
                    <a:srcRect/>
                    <a:stretch>
                      <a:fillRect/>
                    </a:stretch>
                  </pic:blipFill>
                  <pic:spPr bwMode="auto">
                    <a:xfrm>
                      <a:off x="0" y="0"/>
                      <a:ext cx="5507990" cy="12915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1740"/>
        <w:spacing w:after="0"/>
        <w:rPr>
          <w:sz w:val="20"/>
          <w:szCs w:val="20"/>
          <w:color w:val="auto"/>
        </w:rPr>
      </w:pPr>
      <w:r>
        <w:rPr>
          <w:rFonts w:ascii="Arial" w:cs="Arial" w:eastAsia="Arial" w:hAnsi="Arial"/>
          <w:sz w:val="22"/>
          <w:szCs w:val="22"/>
          <w:color w:val="auto"/>
        </w:rPr>
        <w:t>Nº de plazas</w:t>
      </w:r>
    </w:p>
    <w:p>
      <w:pPr>
        <w:spacing w:after="0" w:line="248" w:lineRule="exact"/>
        <w:rPr>
          <w:sz w:val="20"/>
          <w:szCs w:val="20"/>
          <w:color w:val="auto"/>
        </w:rPr>
      </w:pPr>
    </w:p>
    <w:p>
      <w:pPr>
        <w:ind w:left="6280"/>
        <w:spacing w:after="0"/>
        <w:rPr>
          <w:sz w:val="20"/>
          <w:szCs w:val="20"/>
          <w:color w:val="auto"/>
        </w:rPr>
      </w:pPr>
      <w:r>
        <w:rPr>
          <w:rFonts w:ascii="Arial" w:cs="Arial" w:eastAsia="Arial" w:hAnsi="Arial"/>
          <w:sz w:val="22"/>
          <w:szCs w:val="22"/>
          <w:color w:val="auto"/>
        </w:rPr>
        <w:t>Número</w:t>
      </w:r>
    </w:p>
    <w:p>
      <w:pPr>
        <w:spacing w:after="0" w:line="233" w:lineRule="exact"/>
        <w:rPr>
          <w:sz w:val="20"/>
          <w:szCs w:val="20"/>
          <w:color w:val="auto"/>
        </w:rPr>
      </w:pPr>
    </w:p>
    <w:tbl>
      <w:tblPr>
        <w:tblLayout w:type="fixed"/>
        <w:tblInd w:w="180" w:type="dxa"/>
        <w:tblCellMar>
          <w:top w:w="0" w:type="dxa"/>
          <w:left w:w="0" w:type="dxa"/>
          <w:bottom w:w="0" w:type="dxa"/>
          <w:right w:w="0" w:type="dxa"/>
        </w:tblCellMar>
      </w:tblPr>
      <w:tr>
        <w:trPr>
          <w:trHeight w:val="311"/>
        </w:trPr>
        <w:tc>
          <w:tcPr>
            <w:tcW w:w="4320" w:type="dxa"/>
            <w:vAlign w:val="bottom"/>
          </w:tcPr>
          <w:p>
            <w:pPr>
              <w:ind w:left="900"/>
              <w:spacing w:after="0"/>
              <w:rPr>
                <w:sz w:val="20"/>
                <w:szCs w:val="20"/>
                <w:color w:val="auto"/>
              </w:rPr>
            </w:pPr>
            <w:r>
              <w:rPr>
                <w:rFonts w:ascii="Arial" w:cs="Arial" w:eastAsia="Arial" w:hAnsi="Arial"/>
                <w:sz w:val="22"/>
                <w:szCs w:val="22"/>
                <w:color w:val="auto"/>
              </w:rPr>
              <w:t>PERSONAS ATENDIDAS</w:t>
            </w:r>
          </w:p>
        </w:tc>
        <w:tc>
          <w:tcPr>
            <w:tcW w:w="1460" w:type="dxa"/>
            <w:vAlign w:val="bottom"/>
            <w:tcBorders>
              <w:top w:val="single" w:sz="8" w:color="auto"/>
              <w:right w:val="single" w:sz="8" w:color="auto"/>
            </w:tcBorders>
          </w:tcPr>
          <w:p>
            <w:pPr>
              <w:ind w:left="180"/>
              <w:spacing w:after="0"/>
              <w:rPr>
                <w:sz w:val="20"/>
                <w:szCs w:val="20"/>
                <w:color w:val="auto"/>
              </w:rPr>
            </w:pPr>
            <w:r>
              <w:rPr>
                <w:rFonts w:ascii="Arial" w:cs="Arial" w:eastAsia="Arial" w:hAnsi="Arial"/>
                <w:sz w:val="22"/>
                <w:szCs w:val="22"/>
                <w:color w:val="auto"/>
              </w:rPr>
              <w:t>HOMBRES</w:t>
            </w:r>
          </w:p>
        </w:tc>
        <w:tc>
          <w:tcPr>
            <w:tcW w:w="1440" w:type="dxa"/>
            <w:vAlign w:val="bottom"/>
            <w:tcBorders>
              <w:top w:val="single" w:sz="8" w:color="auto"/>
              <w:right w:val="single" w:sz="8" w:color="auto"/>
            </w:tcBorders>
          </w:tcPr>
          <w:p>
            <w:pPr>
              <w:ind w:left="180"/>
              <w:spacing w:after="0"/>
              <w:rPr>
                <w:sz w:val="20"/>
                <w:szCs w:val="20"/>
                <w:color w:val="auto"/>
              </w:rPr>
            </w:pPr>
            <w:r>
              <w:rPr>
                <w:rFonts w:ascii="Arial" w:cs="Arial" w:eastAsia="Arial" w:hAnsi="Arial"/>
                <w:sz w:val="22"/>
                <w:szCs w:val="22"/>
                <w:color w:val="auto"/>
              </w:rPr>
              <w:t>MUJERES</w:t>
            </w:r>
          </w:p>
        </w:tc>
        <w:tc>
          <w:tcPr>
            <w:tcW w:w="1440" w:type="dxa"/>
            <w:vAlign w:val="bottom"/>
            <w:tcBorders>
              <w:top w:val="single" w:sz="8" w:color="auto"/>
            </w:tcBorders>
          </w:tcPr>
          <w:p>
            <w:pPr>
              <w:ind w:left="360"/>
              <w:spacing w:after="0"/>
              <w:rPr>
                <w:sz w:val="20"/>
                <w:szCs w:val="20"/>
                <w:color w:val="auto"/>
              </w:rPr>
            </w:pPr>
            <w:r>
              <w:rPr>
                <w:rFonts w:ascii="Arial" w:cs="Arial" w:eastAsia="Arial" w:hAnsi="Arial"/>
                <w:sz w:val="22"/>
                <w:szCs w:val="22"/>
                <w:color w:val="auto"/>
              </w:rPr>
              <w:t>TOTAL</w:t>
            </w:r>
          </w:p>
        </w:tc>
      </w:tr>
      <w:tr>
        <w:trPr>
          <w:trHeight w:val="190"/>
        </w:trPr>
        <w:tc>
          <w:tcPr>
            <w:tcW w:w="4320" w:type="dxa"/>
            <w:vAlign w:val="bottom"/>
          </w:tcPr>
          <w:p>
            <w:pPr>
              <w:spacing w:after="0"/>
              <w:rPr>
                <w:sz w:val="16"/>
                <w:szCs w:val="16"/>
                <w:color w:val="auto"/>
              </w:rPr>
            </w:pPr>
          </w:p>
        </w:tc>
        <w:tc>
          <w:tcPr>
            <w:tcW w:w="1460" w:type="dxa"/>
            <w:vAlign w:val="bottom"/>
            <w:tcBorders>
              <w:bottom w:val="single" w:sz="8" w:color="auto"/>
              <w:right w:val="single" w:sz="8" w:color="auto"/>
            </w:tcBorders>
          </w:tcPr>
          <w:p>
            <w:pPr>
              <w:spacing w:after="0"/>
              <w:rPr>
                <w:sz w:val="16"/>
                <w:szCs w:val="16"/>
                <w:color w:val="auto"/>
              </w:rPr>
            </w:pPr>
          </w:p>
        </w:tc>
        <w:tc>
          <w:tcPr>
            <w:tcW w:w="1440" w:type="dxa"/>
            <w:vAlign w:val="bottom"/>
            <w:tcBorders>
              <w:bottom w:val="single" w:sz="8" w:color="auto"/>
              <w:right w:val="single" w:sz="8" w:color="auto"/>
            </w:tcBorders>
          </w:tcPr>
          <w:p>
            <w:pPr>
              <w:spacing w:after="0"/>
              <w:rPr>
                <w:sz w:val="16"/>
                <w:szCs w:val="16"/>
                <w:color w:val="auto"/>
              </w:rPr>
            </w:pPr>
          </w:p>
        </w:tc>
        <w:tc>
          <w:tcPr>
            <w:tcW w:w="1440" w:type="dxa"/>
            <w:vAlign w:val="bottom"/>
            <w:tcBorders>
              <w:bottom w:val="single" w:sz="8" w:color="auto"/>
            </w:tcBorders>
          </w:tcPr>
          <w:p>
            <w:pPr>
              <w:spacing w:after="0"/>
              <w:rPr>
                <w:sz w:val="16"/>
                <w:szCs w:val="16"/>
                <w:color w:val="auto"/>
              </w:rPr>
            </w:pPr>
          </w:p>
        </w:tc>
      </w:tr>
      <w:tr>
        <w:trPr>
          <w:trHeight w:val="481"/>
        </w:trPr>
        <w:tc>
          <w:tcPr>
            <w:tcW w:w="4320" w:type="dxa"/>
            <w:vAlign w:val="bottom"/>
            <w:tcBorders>
              <w:bottom w:val="single" w:sz="8" w:color="auto"/>
            </w:tcBorders>
          </w:tcPr>
          <w:p>
            <w:pPr>
              <w:spacing w:after="0"/>
              <w:rPr>
                <w:sz w:val="24"/>
                <w:szCs w:val="24"/>
                <w:color w:val="auto"/>
              </w:rPr>
            </w:pPr>
          </w:p>
        </w:tc>
        <w:tc>
          <w:tcPr>
            <w:tcW w:w="1460" w:type="dxa"/>
            <w:vAlign w:val="bottom"/>
            <w:tcBorders>
              <w:bottom w:val="single" w:sz="8" w:color="auto"/>
              <w:right w:val="single" w:sz="8" w:color="auto"/>
            </w:tcBorders>
          </w:tcPr>
          <w:p>
            <w:pPr>
              <w:spacing w:after="0"/>
              <w:rPr>
                <w:sz w:val="24"/>
                <w:szCs w:val="24"/>
                <w:color w:val="auto"/>
              </w:rPr>
            </w:pPr>
          </w:p>
        </w:tc>
        <w:tc>
          <w:tcPr>
            <w:tcW w:w="1440" w:type="dxa"/>
            <w:vAlign w:val="bottom"/>
            <w:tcBorders>
              <w:bottom w:val="single" w:sz="8" w:color="auto"/>
              <w:right w:val="single" w:sz="8" w:color="auto"/>
            </w:tcBorders>
          </w:tcPr>
          <w:p>
            <w:pPr>
              <w:spacing w:after="0"/>
              <w:rPr>
                <w:sz w:val="24"/>
                <w:szCs w:val="24"/>
                <w:color w:val="auto"/>
              </w:rPr>
            </w:pPr>
          </w:p>
        </w:tc>
        <w:tc>
          <w:tcPr>
            <w:tcW w:w="1440" w:type="dxa"/>
            <w:vAlign w:val="bottom"/>
            <w:tcBorders>
              <w:bottom w:val="single" w:sz="8" w:color="auto"/>
            </w:tcBorders>
          </w:tcPr>
          <w:p>
            <w:pPr>
              <w:spacing w:after="0"/>
              <w:rPr>
                <w:sz w:val="24"/>
                <w:szCs w:val="24"/>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111760</wp:posOffset>
            </wp:positionH>
            <wp:positionV relativeFrom="paragraph">
              <wp:posOffset>305435</wp:posOffset>
            </wp:positionV>
            <wp:extent cx="5507990" cy="147002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extLst>
                    </a:blip>
                    <a:srcRect/>
                    <a:stretch>
                      <a:fillRect/>
                    </a:stretch>
                  </pic:blipFill>
                  <pic:spPr bwMode="auto">
                    <a:xfrm>
                      <a:off x="0" y="0"/>
                      <a:ext cx="5507990" cy="1470025"/>
                    </a:xfrm>
                    <a:prstGeom prst="rect">
                      <a:avLst/>
                    </a:prstGeom>
                    <a:noFill/>
                  </pic:spPr>
                </pic:pic>
              </a:graphicData>
            </a:graphic>
          </wp:anchor>
        </w:drawing>
      </w:r>
    </w:p>
    <w:p>
      <w:pPr>
        <w:spacing w:after="0" w:line="200" w:lineRule="exact"/>
        <w:rPr>
          <w:sz w:val="20"/>
          <w:szCs w:val="20"/>
          <w:color w:val="auto"/>
        </w:rPr>
      </w:pPr>
    </w:p>
    <w:p>
      <w:pPr>
        <w:spacing w:after="0" w:line="251" w:lineRule="exact"/>
        <w:rPr>
          <w:sz w:val="20"/>
          <w:szCs w:val="20"/>
          <w:color w:val="auto"/>
        </w:rPr>
      </w:pPr>
    </w:p>
    <w:tbl>
      <w:tblPr>
        <w:tblLayout w:type="fixed"/>
        <w:tblInd w:w="190" w:type="dxa"/>
        <w:tblCellMar>
          <w:top w:w="0" w:type="dxa"/>
          <w:left w:w="0" w:type="dxa"/>
          <w:bottom w:w="0" w:type="dxa"/>
          <w:right w:w="0" w:type="dxa"/>
        </w:tblCellMar>
      </w:tblPr>
      <w:tr>
        <w:trPr>
          <w:trHeight w:val="301"/>
        </w:trPr>
        <w:tc>
          <w:tcPr>
            <w:tcW w:w="4340" w:type="dxa"/>
            <w:vAlign w:val="bottom"/>
            <w:tcBorders>
              <w:top w:val="single" w:sz="8" w:color="auto"/>
              <w:left w:val="single" w:sz="8" w:color="auto"/>
              <w:right w:val="single" w:sz="8" w:color="auto"/>
            </w:tcBorders>
          </w:tcPr>
          <w:p>
            <w:pPr>
              <w:spacing w:after="0"/>
              <w:rPr>
                <w:sz w:val="24"/>
                <w:szCs w:val="24"/>
                <w:color w:val="auto"/>
              </w:rPr>
            </w:pPr>
          </w:p>
        </w:tc>
        <w:tc>
          <w:tcPr>
            <w:tcW w:w="1440" w:type="dxa"/>
            <w:vAlign w:val="bottom"/>
            <w:tcBorders>
              <w:top w:val="single" w:sz="8" w:color="auto"/>
            </w:tcBorders>
          </w:tcPr>
          <w:p>
            <w:pPr>
              <w:spacing w:after="0"/>
              <w:rPr>
                <w:sz w:val="24"/>
                <w:szCs w:val="24"/>
                <w:color w:val="auto"/>
              </w:rPr>
            </w:pPr>
          </w:p>
        </w:tc>
        <w:tc>
          <w:tcPr>
            <w:tcW w:w="2900" w:type="dxa"/>
            <w:vAlign w:val="bottom"/>
            <w:tcBorders>
              <w:top w:val="single" w:sz="8" w:color="auto"/>
              <w:right w:val="single" w:sz="8" w:color="auto"/>
            </w:tcBorders>
            <w:gridSpan w:val="2"/>
          </w:tcPr>
          <w:p>
            <w:pPr>
              <w:ind w:left="320"/>
              <w:spacing w:after="0"/>
              <w:rPr>
                <w:sz w:val="20"/>
                <w:szCs w:val="20"/>
                <w:color w:val="auto"/>
              </w:rPr>
            </w:pPr>
            <w:r>
              <w:rPr>
                <w:rFonts w:ascii="Arial" w:cs="Arial" w:eastAsia="Arial" w:hAnsi="Arial"/>
                <w:sz w:val="22"/>
                <w:szCs w:val="22"/>
                <w:color w:val="auto"/>
              </w:rPr>
              <w:t>Número</w:t>
            </w:r>
          </w:p>
        </w:tc>
        <w:tc>
          <w:tcPr>
            <w:tcW w:w="0" w:type="dxa"/>
            <w:vAlign w:val="bottom"/>
          </w:tcPr>
          <w:p>
            <w:pPr>
              <w:spacing w:after="0"/>
              <w:rPr>
                <w:sz w:val="1"/>
                <w:szCs w:val="1"/>
                <w:color w:val="auto"/>
              </w:rPr>
            </w:pPr>
          </w:p>
        </w:tc>
      </w:tr>
      <w:tr>
        <w:trPr>
          <w:trHeight w:val="200"/>
        </w:trPr>
        <w:tc>
          <w:tcPr>
            <w:tcW w:w="4340" w:type="dxa"/>
            <w:vAlign w:val="bottom"/>
            <w:tcBorders>
              <w:left w:val="single" w:sz="8" w:color="auto"/>
              <w:right w:val="single" w:sz="8" w:color="auto"/>
            </w:tcBorders>
            <w:vMerge w:val="restart"/>
          </w:tcPr>
          <w:p>
            <w:pPr>
              <w:ind w:left="120"/>
              <w:spacing w:after="0"/>
              <w:rPr>
                <w:sz w:val="20"/>
                <w:szCs w:val="20"/>
                <w:color w:val="auto"/>
              </w:rPr>
            </w:pPr>
            <w:r>
              <w:rPr>
                <w:rFonts w:ascii="Arial" w:cs="Arial" w:eastAsia="Arial" w:hAnsi="Arial"/>
                <w:sz w:val="22"/>
                <w:szCs w:val="22"/>
                <w:color w:val="auto"/>
              </w:rPr>
              <w:t>INGRESOS Y BAJAS DE PERSONAS</w:t>
            </w:r>
          </w:p>
        </w:tc>
        <w:tc>
          <w:tcPr>
            <w:tcW w:w="1440" w:type="dxa"/>
            <w:vAlign w:val="bottom"/>
            <w:tcBorders>
              <w:bottom w:val="single" w:sz="8" w:color="auto"/>
            </w:tcBorders>
          </w:tcPr>
          <w:p>
            <w:pPr>
              <w:spacing w:after="0"/>
              <w:rPr>
                <w:sz w:val="17"/>
                <w:szCs w:val="17"/>
                <w:color w:val="auto"/>
              </w:rPr>
            </w:pPr>
          </w:p>
        </w:tc>
        <w:tc>
          <w:tcPr>
            <w:tcW w:w="1440" w:type="dxa"/>
            <w:vAlign w:val="bottom"/>
            <w:tcBorders>
              <w:bottom w:val="single" w:sz="8" w:color="auto"/>
            </w:tcBorders>
          </w:tcPr>
          <w:p>
            <w:pPr>
              <w:spacing w:after="0"/>
              <w:rPr>
                <w:sz w:val="17"/>
                <w:szCs w:val="17"/>
                <w:color w:val="auto"/>
              </w:rPr>
            </w:pPr>
          </w:p>
        </w:tc>
        <w:tc>
          <w:tcPr>
            <w:tcW w:w="146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56"/>
        </w:trPr>
        <w:tc>
          <w:tcPr>
            <w:tcW w:w="4340" w:type="dxa"/>
            <w:vAlign w:val="bottom"/>
            <w:tcBorders>
              <w:left w:val="single" w:sz="8" w:color="auto"/>
              <w:right w:val="single" w:sz="8" w:color="auto"/>
            </w:tcBorders>
            <w:vMerge w:val="continue"/>
          </w:tcPr>
          <w:p>
            <w:pPr>
              <w:spacing w:after="0"/>
              <w:rPr>
                <w:sz w:val="22"/>
                <w:szCs w:val="22"/>
                <w:color w:val="auto"/>
              </w:rPr>
            </w:pPr>
          </w:p>
        </w:tc>
        <w:tc>
          <w:tcPr>
            <w:tcW w:w="144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HOMBRES</w:t>
            </w:r>
          </w:p>
        </w:tc>
        <w:tc>
          <w:tcPr>
            <w:tcW w:w="144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MUJERES</w:t>
            </w:r>
          </w:p>
        </w:tc>
        <w:tc>
          <w:tcPr>
            <w:tcW w:w="146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TOTAL</w:t>
            </w:r>
          </w:p>
        </w:tc>
        <w:tc>
          <w:tcPr>
            <w:tcW w:w="0" w:type="dxa"/>
            <w:vAlign w:val="bottom"/>
          </w:tcPr>
          <w:p>
            <w:pPr>
              <w:spacing w:after="0"/>
              <w:rPr>
                <w:sz w:val="1"/>
                <w:szCs w:val="1"/>
                <w:color w:val="auto"/>
              </w:rPr>
            </w:pPr>
          </w:p>
        </w:tc>
      </w:tr>
      <w:tr>
        <w:trPr>
          <w:trHeight w:val="291"/>
        </w:trPr>
        <w:tc>
          <w:tcPr>
            <w:tcW w:w="434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ATENDIDAS</w:t>
            </w:r>
          </w:p>
        </w:tc>
        <w:tc>
          <w:tcPr>
            <w:tcW w:w="1440" w:type="dxa"/>
            <w:vAlign w:val="bottom"/>
            <w:tcBorders>
              <w:right w:val="single" w:sz="8" w:color="auto"/>
            </w:tcBorders>
          </w:tcPr>
          <w:p>
            <w:pPr>
              <w:spacing w:after="0"/>
              <w:rPr>
                <w:sz w:val="24"/>
                <w:szCs w:val="24"/>
                <w:color w:val="auto"/>
              </w:rPr>
            </w:pPr>
          </w:p>
        </w:tc>
        <w:tc>
          <w:tcPr>
            <w:tcW w:w="1440" w:type="dxa"/>
            <w:vAlign w:val="bottom"/>
            <w:tcBorders>
              <w:right w:val="single" w:sz="8" w:color="auto"/>
            </w:tcBorders>
          </w:tcPr>
          <w:p>
            <w:pPr>
              <w:spacing w:after="0"/>
              <w:rPr>
                <w:sz w:val="24"/>
                <w:szCs w:val="24"/>
                <w:color w:val="auto"/>
              </w:rPr>
            </w:pPr>
          </w:p>
        </w:tc>
        <w:tc>
          <w:tcPr>
            <w:tcW w:w="14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15"/>
        </w:trPr>
        <w:tc>
          <w:tcPr>
            <w:tcW w:w="4340" w:type="dxa"/>
            <w:vAlign w:val="bottom"/>
            <w:tcBorders>
              <w:left w:val="single" w:sz="8" w:color="auto"/>
              <w:bottom w:val="single" w:sz="8" w:color="auto"/>
              <w:right w:val="single" w:sz="8" w:color="auto"/>
            </w:tcBorders>
          </w:tcPr>
          <w:p>
            <w:pPr>
              <w:spacing w:after="0"/>
              <w:rPr>
                <w:sz w:val="18"/>
                <w:szCs w:val="18"/>
                <w:color w:val="auto"/>
              </w:rPr>
            </w:pPr>
          </w:p>
        </w:tc>
        <w:tc>
          <w:tcPr>
            <w:tcW w:w="1440" w:type="dxa"/>
            <w:vAlign w:val="bottom"/>
            <w:tcBorders>
              <w:bottom w:val="single" w:sz="8" w:color="auto"/>
              <w:right w:val="single" w:sz="8" w:color="auto"/>
            </w:tcBorders>
          </w:tcPr>
          <w:p>
            <w:pPr>
              <w:spacing w:after="0"/>
              <w:rPr>
                <w:sz w:val="18"/>
                <w:szCs w:val="18"/>
                <w:color w:val="auto"/>
              </w:rPr>
            </w:pPr>
          </w:p>
        </w:tc>
        <w:tc>
          <w:tcPr>
            <w:tcW w:w="1440" w:type="dxa"/>
            <w:vAlign w:val="bottom"/>
            <w:tcBorders>
              <w:bottom w:val="single" w:sz="8" w:color="auto"/>
              <w:right w:val="single" w:sz="8" w:color="auto"/>
            </w:tcBorders>
          </w:tcPr>
          <w:p>
            <w:pPr>
              <w:spacing w:after="0"/>
              <w:rPr>
                <w:sz w:val="18"/>
                <w:szCs w:val="18"/>
                <w:color w:val="auto"/>
              </w:rPr>
            </w:pPr>
          </w:p>
        </w:tc>
        <w:tc>
          <w:tcPr>
            <w:tcW w:w="146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81"/>
        </w:trPr>
        <w:tc>
          <w:tcPr>
            <w:tcW w:w="434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Total de ingresos producidos</w:t>
            </w:r>
          </w:p>
        </w:tc>
        <w:tc>
          <w:tcPr>
            <w:tcW w:w="1440" w:type="dxa"/>
            <w:vAlign w:val="bottom"/>
            <w:tcBorders>
              <w:right w:val="single" w:sz="8" w:color="auto"/>
            </w:tcBorders>
          </w:tcPr>
          <w:p>
            <w:pPr>
              <w:spacing w:after="0"/>
              <w:rPr>
                <w:sz w:val="24"/>
                <w:szCs w:val="24"/>
                <w:color w:val="auto"/>
              </w:rPr>
            </w:pPr>
          </w:p>
        </w:tc>
        <w:tc>
          <w:tcPr>
            <w:tcW w:w="1440" w:type="dxa"/>
            <w:vAlign w:val="bottom"/>
            <w:tcBorders>
              <w:right w:val="single" w:sz="8" w:color="auto"/>
            </w:tcBorders>
          </w:tcPr>
          <w:p>
            <w:pPr>
              <w:spacing w:after="0"/>
              <w:rPr>
                <w:sz w:val="24"/>
                <w:szCs w:val="24"/>
                <w:color w:val="auto"/>
              </w:rPr>
            </w:pPr>
          </w:p>
        </w:tc>
        <w:tc>
          <w:tcPr>
            <w:tcW w:w="14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0"/>
        </w:trPr>
        <w:tc>
          <w:tcPr>
            <w:tcW w:w="4340" w:type="dxa"/>
            <w:vAlign w:val="bottom"/>
            <w:tcBorders>
              <w:left w:val="single" w:sz="8" w:color="auto"/>
              <w:bottom w:val="single" w:sz="8" w:color="auto"/>
              <w:right w:val="single" w:sz="8" w:color="auto"/>
            </w:tcBorders>
          </w:tcPr>
          <w:p>
            <w:pPr>
              <w:spacing w:after="0"/>
              <w:rPr>
                <w:sz w:val="17"/>
                <w:szCs w:val="17"/>
                <w:color w:val="auto"/>
              </w:rPr>
            </w:pPr>
          </w:p>
        </w:tc>
        <w:tc>
          <w:tcPr>
            <w:tcW w:w="1440" w:type="dxa"/>
            <w:vAlign w:val="bottom"/>
            <w:tcBorders>
              <w:bottom w:val="single" w:sz="8" w:color="auto"/>
              <w:right w:val="single" w:sz="8" w:color="auto"/>
            </w:tcBorders>
          </w:tcPr>
          <w:p>
            <w:pPr>
              <w:spacing w:after="0"/>
              <w:rPr>
                <w:sz w:val="17"/>
                <w:szCs w:val="17"/>
                <w:color w:val="auto"/>
              </w:rPr>
            </w:pPr>
          </w:p>
        </w:tc>
        <w:tc>
          <w:tcPr>
            <w:tcW w:w="1440" w:type="dxa"/>
            <w:vAlign w:val="bottom"/>
            <w:tcBorders>
              <w:bottom w:val="single" w:sz="8" w:color="auto"/>
              <w:right w:val="single" w:sz="8" w:color="auto"/>
            </w:tcBorders>
          </w:tcPr>
          <w:p>
            <w:pPr>
              <w:spacing w:after="0"/>
              <w:rPr>
                <w:sz w:val="17"/>
                <w:szCs w:val="17"/>
                <w:color w:val="auto"/>
              </w:rPr>
            </w:pPr>
          </w:p>
        </w:tc>
        <w:tc>
          <w:tcPr>
            <w:tcW w:w="146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81"/>
        </w:trPr>
        <w:tc>
          <w:tcPr>
            <w:tcW w:w="4340" w:type="dxa"/>
            <w:vAlign w:val="bottom"/>
            <w:tcBorders>
              <w:left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Total de bajas producidas</w:t>
            </w:r>
          </w:p>
        </w:tc>
        <w:tc>
          <w:tcPr>
            <w:tcW w:w="1440" w:type="dxa"/>
            <w:vAlign w:val="bottom"/>
            <w:tcBorders>
              <w:right w:val="single" w:sz="8" w:color="auto"/>
            </w:tcBorders>
          </w:tcPr>
          <w:p>
            <w:pPr>
              <w:spacing w:after="0"/>
              <w:rPr>
                <w:sz w:val="24"/>
                <w:szCs w:val="24"/>
                <w:color w:val="auto"/>
              </w:rPr>
            </w:pPr>
          </w:p>
        </w:tc>
        <w:tc>
          <w:tcPr>
            <w:tcW w:w="1440" w:type="dxa"/>
            <w:vAlign w:val="bottom"/>
            <w:tcBorders>
              <w:right w:val="single" w:sz="8" w:color="auto"/>
            </w:tcBorders>
          </w:tcPr>
          <w:p>
            <w:pPr>
              <w:spacing w:after="0"/>
              <w:rPr>
                <w:sz w:val="24"/>
                <w:szCs w:val="24"/>
                <w:color w:val="auto"/>
              </w:rPr>
            </w:pPr>
          </w:p>
        </w:tc>
        <w:tc>
          <w:tcPr>
            <w:tcW w:w="14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0"/>
        </w:trPr>
        <w:tc>
          <w:tcPr>
            <w:tcW w:w="4340" w:type="dxa"/>
            <w:vAlign w:val="bottom"/>
            <w:tcBorders>
              <w:left w:val="single" w:sz="8" w:color="auto"/>
              <w:bottom w:val="single" w:sz="8" w:color="auto"/>
              <w:right w:val="single" w:sz="8" w:color="auto"/>
            </w:tcBorders>
          </w:tcPr>
          <w:p>
            <w:pPr>
              <w:spacing w:after="0"/>
              <w:rPr>
                <w:sz w:val="17"/>
                <w:szCs w:val="17"/>
                <w:color w:val="auto"/>
              </w:rPr>
            </w:pPr>
          </w:p>
        </w:tc>
        <w:tc>
          <w:tcPr>
            <w:tcW w:w="1440" w:type="dxa"/>
            <w:vAlign w:val="bottom"/>
            <w:tcBorders>
              <w:bottom w:val="single" w:sz="8" w:color="auto"/>
              <w:right w:val="single" w:sz="8" w:color="auto"/>
            </w:tcBorders>
          </w:tcPr>
          <w:p>
            <w:pPr>
              <w:spacing w:after="0"/>
              <w:rPr>
                <w:sz w:val="17"/>
                <w:szCs w:val="17"/>
                <w:color w:val="auto"/>
              </w:rPr>
            </w:pPr>
          </w:p>
        </w:tc>
        <w:tc>
          <w:tcPr>
            <w:tcW w:w="1440" w:type="dxa"/>
            <w:vAlign w:val="bottom"/>
            <w:tcBorders>
              <w:bottom w:val="single" w:sz="8" w:color="auto"/>
              <w:right w:val="single" w:sz="8" w:color="auto"/>
            </w:tcBorders>
          </w:tcPr>
          <w:p>
            <w:pPr>
              <w:spacing w:after="0"/>
              <w:rPr>
                <w:sz w:val="17"/>
                <w:szCs w:val="17"/>
                <w:color w:val="auto"/>
              </w:rPr>
            </w:pPr>
          </w:p>
        </w:tc>
        <w:tc>
          <w:tcPr>
            <w:tcW w:w="146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17"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26</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35</w:t>
      </w:r>
    </w:p>
    <w:p>
      <w:pPr>
        <w:sectPr>
          <w:pgSz w:w="11900" w:h="16838" w:orient="portrait"/>
          <w:cols w:equalWidth="0" w:num="1">
            <w:col w:w="9340"/>
          </w:cols>
          <w:pgMar w:left="144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440" w:right="1126" w:bottom="0" w:gutter="0" w:footer="0" w:header="0"/>
          <w:type w:val="continuous"/>
        </w:sectPr>
      </w:pPr>
    </w:p>
    <w:bookmarkStart w:id="26" w:name="page27"/>
    <w:bookmarkEnd w:id="26"/>
    <w:p>
      <w:pPr>
        <w:ind w:left="300"/>
        <w:spacing w:after="0"/>
        <w:rPr>
          <w:sz w:val="20"/>
          <w:szCs w:val="20"/>
          <w:color w:val="auto"/>
        </w:rPr>
      </w:pPr>
      <w:r>
        <w:rPr>
          <w:rFonts w:ascii="Arial" w:cs="Arial" w:eastAsia="Arial" w:hAnsi="Arial"/>
          <w:sz w:val="22"/>
          <w:szCs w:val="22"/>
          <w:color w:val="auto"/>
        </w:rPr>
        <w:drawing>
          <wp:anchor simplePos="0" relativeHeight="251657728" behindDoc="1" locked="0" layoutInCell="0" allowOverlap="1">
            <wp:simplePos x="0" y="0"/>
            <wp:positionH relativeFrom="page">
              <wp:posOffset>1026160</wp:posOffset>
            </wp:positionH>
            <wp:positionV relativeFrom="page">
              <wp:posOffset>353695</wp:posOffset>
            </wp:positionV>
            <wp:extent cx="5507990" cy="8970645"/>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a:extLst>
                        <a:ext uri="{28A0092B-C50C-407E-A947-70E740481C1C}"/>
                      </a:extLst>
                    </a:blip>
                    <a:srcRect/>
                    <a:stretch>
                      <a:fillRect/>
                    </a:stretch>
                  </pic:blipFill>
                  <pic:spPr bwMode="auto">
                    <a:xfrm>
                      <a:off x="0" y="0"/>
                      <a:ext cx="5507990" cy="8970645"/>
                    </a:xfrm>
                    <a:prstGeom prst="rect">
                      <a:avLst/>
                    </a:prstGeom>
                    <a:noFill/>
                  </pic:spPr>
                </pic:pic>
              </a:graphicData>
            </a:graphic>
          </wp:anchor>
        </w:drawing>
        <w:t>CARACTERÍSTICAS DE LAS PERSONAS ATENDIDAS</w:t>
      </w:r>
    </w:p>
    <w:p>
      <w:pPr>
        <w:spacing w:after="0" w:line="233" w:lineRule="exact"/>
        <w:rPr>
          <w:sz w:val="20"/>
          <w:szCs w:val="20"/>
          <w:color w:val="auto"/>
        </w:rPr>
      </w:pPr>
    </w:p>
    <w:tbl>
      <w:tblPr>
        <w:tblLayout w:type="fixed"/>
        <w:tblInd w:w="180" w:type="dxa"/>
        <w:tblCellMar>
          <w:top w:w="0" w:type="dxa"/>
          <w:left w:w="0" w:type="dxa"/>
          <w:bottom w:w="0" w:type="dxa"/>
          <w:right w:w="0" w:type="dxa"/>
        </w:tblCellMar>
      </w:tblPr>
      <w:tr>
        <w:trPr>
          <w:trHeight w:val="301"/>
        </w:trPr>
        <w:tc>
          <w:tcPr>
            <w:tcW w:w="2760" w:type="dxa"/>
            <w:vAlign w:val="bottom"/>
            <w:tcBorders>
              <w:top w:val="single" w:sz="8" w:color="auto"/>
            </w:tcBorders>
          </w:tcPr>
          <w:p>
            <w:pPr>
              <w:ind w:left="120"/>
              <w:spacing w:after="0"/>
              <w:rPr>
                <w:sz w:val="20"/>
                <w:szCs w:val="20"/>
                <w:color w:val="auto"/>
              </w:rPr>
            </w:pPr>
            <w:r>
              <w:rPr>
                <w:rFonts w:ascii="Arial" w:cs="Arial" w:eastAsia="Arial" w:hAnsi="Arial"/>
                <w:sz w:val="22"/>
                <w:szCs w:val="22"/>
                <w:color w:val="auto"/>
              </w:rPr>
              <w:t>1. EDAD</w:t>
            </w:r>
          </w:p>
        </w:tc>
        <w:tc>
          <w:tcPr>
            <w:tcW w:w="4500" w:type="dxa"/>
            <w:vAlign w:val="bottom"/>
            <w:tcBorders>
              <w:top w:val="single" w:sz="8" w:color="auto"/>
              <w:right w:val="single" w:sz="8" w:color="auto"/>
            </w:tcBorders>
          </w:tcPr>
          <w:p>
            <w:pPr>
              <w:ind w:left="1760"/>
              <w:spacing w:after="0"/>
              <w:rPr>
                <w:sz w:val="20"/>
                <w:szCs w:val="20"/>
                <w:color w:val="auto"/>
              </w:rPr>
            </w:pPr>
            <w:r>
              <w:rPr>
                <w:rFonts w:ascii="Arial" w:cs="Arial" w:eastAsia="Arial" w:hAnsi="Arial"/>
                <w:sz w:val="22"/>
                <w:szCs w:val="22"/>
                <w:color w:val="auto"/>
              </w:rPr>
              <w:t>HOMBRES   MUJERES</w:t>
            </w:r>
          </w:p>
        </w:tc>
        <w:tc>
          <w:tcPr>
            <w:tcW w:w="1400" w:type="dxa"/>
            <w:vAlign w:val="bottom"/>
            <w:tcBorders>
              <w:top w:val="single" w:sz="8" w:color="auto"/>
            </w:tcBorders>
          </w:tcPr>
          <w:p>
            <w:pPr>
              <w:ind w:left="80"/>
              <w:spacing w:after="0"/>
              <w:rPr>
                <w:sz w:val="20"/>
                <w:szCs w:val="20"/>
                <w:color w:val="auto"/>
              </w:rPr>
            </w:pPr>
            <w:r>
              <w:rPr>
                <w:rFonts w:ascii="Arial" w:cs="Arial" w:eastAsia="Arial" w:hAnsi="Arial"/>
                <w:sz w:val="22"/>
                <w:szCs w:val="22"/>
                <w:color w:val="auto"/>
              </w:rPr>
              <w:t>TOTAL</w:t>
            </w:r>
          </w:p>
        </w:tc>
      </w:tr>
      <w:tr>
        <w:trPr>
          <w:trHeight w:val="200"/>
        </w:trPr>
        <w:tc>
          <w:tcPr>
            <w:tcW w:w="2760" w:type="dxa"/>
            <w:vAlign w:val="bottom"/>
            <w:tcBorders>
              <w:bottom w:val="single" w:sz="8" w:color="auto"/>
            </w:tcBorders>
          </w:tcPr>
          <w:p>
            <w:pPr>
              <w:spacing w:after="0"/>
              <w:rPr>
                <w:sz w:val="17"/>
                <w:szCs w:val="17"/>
                <w:color w:val="auto"/>
              </w:rPr>
            </w:pPr>
          </w:p>
        </w:tc>
        <w:tc>
          <w:tcPr>
            <w:tcW w:w="4500" w:type="dxa"/>
            <w:vAlign w:val="bottom"/>
            <w:tcBorders>
              <w:bottom w:val="single" w:sz="8" w:color="auto"/>
              <w:right w:val="single" w:sz="8" w:color="auto"/>
            </w:tcBorders>
          </w:tcPr>
          <w:p>
            <w:pPr>
              <w:spacing w:after="0"/>
              <w:rPr>
                <w:sz w:val="17"/>
                <w:szCs w:val="17"/>
                <w:color w:val="auto"/>
              </w:rPr>
            </w:pPr>
          </w:p>
        </w:tc>
        <w:tc>
          <w:tcPr>
            <w:tcW w:w="1400" w:type="dxa"/>
            <w:vAlign w:val="bottom"/>
            <w:tcBorders>
              <w:bottom w:val="single" w:sz="8" w:color="auto"/>
            </w:tcBorders>
          </w:tcPr>
          <w:p>
            <w:pPr>
              <w:spacing w:after="0"/>
              <w:rPr>
                <w:sz w:val="17"/>
                <w:szCs w:val="17"/>
                <w:color w:val="auto"/>
              </w:rPr>
            </w:pPr>
          </w:p>
        </w:tc>
      </w:tr>
    </w:tbl>
    <w:p>
      <w:pPr>
        <w:ind w:left="480" w:hanging="181"/>
        <w:spacing w:after="0"/>
        <w:tabs>
          <w:tab w:leader="none" w:pos="480" w:val="left"/>
        </w:tabs>
        <w:numPr>
          <w:ilvl w:val="0"/>
          <w:numId w:val="24"/>
        </w:numPr>
        <w:rPr>
          <w:rFonts w:ascii="Arial" w:cs="Arial" w:eastAsia="Arial" w:hAnsi="Arial"/>
          <w:sz w:val="22"/>
          <w:szCs w:val="22"/>
          <w:color w:val="auto"/>
        </w:rPr>
      </w:pPr>
      <w:r>
        <w:rPr>
          <w:rFonts w:ascii="Arial" w:cs="Arial" w:eastAsia="Arial" w:hAnsi="Arial"/>
          <w:sz w:val="22"/>
          <w:szCs w:val="22"/>
          <w:color w:val="auto"/>
        </w:rPr>
        <w:t>18 años</w:t>
      </w:r>
    </w:p>
    <w:p>
      <w:pPr>
        <w:spacing w:after="0" w:line="233"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18-28</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29-39</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40-50</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51-59</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60-64 años</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65-69 años</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70-74 años</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75-79 años</w:t>
      </w:r>
    </w:p>
    <w:p>
      <w:pPr>
        <w:spacing w:after="0" w:line="247" w:lineRule="exact"/>
        <w:rPr>
          <w:rFonts w:ascii="Arial" w:cs="Arial" w:eastAsia="Arial" w:hAnsi="Arial"/>
          <w:sz w:val="22"/>
          <w:szCs w:val="22"/>
          <w:color w:val="auto"/>
        </w:rPr>
      </w:pPr>
    </w:p>
    <w:p>
      <w:pPr>
        <w:ind w:left="300"/>
        <w:spacing w:after="0"/>
        <w:rPr>
          <w:rFonts w:ascii="Arial" w:cs="Arial" w:eastAsia="Arial" w:hAnsi="Arial"/>
          <w:sz w:val="22"/>
          <w:szCs w:val="22"/>
          <w:color w:val="auto"/>
        </w:rPr>
      </w:pPr>
      <w:r>
        <w:rPr>
          <w:rFonts w:ascii="Arial" w:cs="Arial" w:eastAsia="Arial" w:hAnsi="Arial"/>
          <w:sz w:val="22"/>
          <w:szCs w:val="22"/>
          <w:color w:val="auto"/>
        </w:rPr>
        <w:t>80 y más años</w:t>
      </w:r>
    </w:p>
    <w:p>
      <w:pPr>
        <w:spacing w:after="0" w:line="247" w:lineRule="exact"/>
        <w:rPr>
          <w:rFonts w:ascii="Arial" w:cs="Arial" w:eastAsia="Arial" w:hAnsi="Arial"/>
          <w:sz w:val="22"/>
          <w:szCs w:val="22"/>
          <w:color w:val="auto"/>
        </w:rPr>
      </w:pPr>
    </w:p>
    <w:p>
      <w:pPr>
        <w:ind w:left="300" w:right="5080"/>
        <w:spacing w:after="0" w:line="497" w:lineRule="auto"/>
        <w:rPr>
          <w:rFonts w:ascii="Arial" w:cs="Arial" w:eastAsia="Arial" w:hAnsi="Arial"/>
          <w:sz w:val="22"/>
          <w:szCs w:val="22"/>
          <w:color w:val="auto"/>
        </w:rPr>
      </w:pPr>
      <w:r>
        <w:rPr>
          <w:rFonts w:ascii="Arial" w:cs="Arial" w:eastAsia="Arial" w:hAnsi="Arial"/>
          <w:sz w:val="21"/>
          <w:szCs w:val="21"/>
          <w:color w:val="auto"/>
        </w:rPr>
        <w:t>2. GRADO DE DEPENDENCIA Personas sin valoración de dependencia</w:t>
      </w:r>
    </w:p>
    <w:p>
      <w:pPr>
        <w:spacing w:after="0" w:line="2"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Personas valoradas pero sin grado de</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dependencia</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Grado de dependencia I</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Grado de dependencia II</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Grado de dependencia III</w:t>
      </w:r>
    </w:p>
    <w:p>
      <w:pPr>
        <w:spacing w:after="0" w:line="248" w:lineRule="exact"/>
        <w:rPr>
          <w:sz w:val="20"/>
          <w:szCs w:val="20"/>
          <w:color w:val="auto"/>
        </w:rPr>
      </w:pPr>
    </w:p>
    <w:p>
      <w:pPr>
        <w:ind w:left="300" w:right="2820" w:hanging="1"/>
        <w:spacing w:after="0" w:line="475" w:lineRule="auto"/>
        <w:tabs>
          <w:tab w:leader="none" w:pos="545" w:val="left"/>
        </w:tabs>
        <w:numPr>
          <w:ilvl w:val="0"/>
          <w:numId w:val="25"/>
        </w:numPr>
        <w:rPr>
          <w:rFonts w:ascii="Arial" w:cs="Arial" w:eastAsia="Arial" w:hAnsi="Arial"/>
          <w:sz w:val="22"/>
          <w:szCs w:val="22"/>
          <w:color w:val="auto"/>
        </w:rPr>
      </w:pPr>
      <w:r>
        <w:rPr>
          <w:rFonts w:ascii="Arial" w:cs="Arial" w:eastAsia="Arial" w:hAnsi="Arial"/>
          <w:sz w:val="22"/>
          <w:szCs w:val="22"/>
          <w:color w:val="auto"/>
        </w:rPr>
        <w:t>PROBLEMAS DE SALUD DE LAS PERSONAS ATENDIDAS Inmovilidad</w:t>
      </w:r>
    </w:p>
    <w:p>
      <w:pPr>
        <w:spacing w:after="0" w:line="1" w:lineRule="exact"/>
        <w:rPr>
          <w:sz w:val="20"/>
          <w:szCs w:val="20"/>
          <w:color w:val="auto"/>
        </w:rPr>
      </w:pPr>
    </w:p>
    <w:p>
      <w:pPr>
        <w:ind w:left="300"/>
        <w:spacing w:after="0"/>
        <w:rPr>
          <w:sz w:val="20"/>
          <w:szCs w:val="20"/>
          <w:color w:val="auto"/>
        </w:rPr>
      </w:pPr>
      <w:r>
        <w:rPr>
          <w:rFonts w:ascii="Arial" w:cs="Arial" w:eastAsia="Arial" w:hAnsi="Arial"/>
          <w:sz w:val="22"/>
          <w:szCs w:val="22"/>
          <w:color w:val="auto"/>
        </w:rPr>
        <w:t>Alteraciones de la marcha: Inestabilidad y</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caídas</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Incontinencia urinaria y fecal</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Malnutrición y deshidratación</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Infección</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Trastornos sensoriales</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Síndrome confusional agudo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Trastorno psicoafectivo: depresión y</w:t>
      </w:r>
    </w:p>
    <w:p>
      <w:pPr>
        <w:spacing w:after="0" w:line="389"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27</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35</w:t>
      </w:r>
    </w:p>
    <w:p>
      <w:pPr>
        <w:sectPr>
          <w:pgSz w:w="11900" w:h="16838" w:orient="portrait"/>
          <w:cols w:equalWidth="0" w:num="1">
            <w:col w:w="9340"/>
          </w:cols>
          <w:pgMar w:left="1440" w:top="56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562" w:right="1126" w:bottom="0" w:gutter="0" w:footer="0" w:header="0"/>
          <w:type w:val="continuous"/>
        </w:sectPr>
      </w:pPr>
    </w:p>
    <w:bookmarkStart w:id="27" w:name="page28"/>
    <w:bookmarkEnd w:id="27"/>
    <w:p>
      <w:pPr>
        <w:ind w:left="300"/>
        <w:spacing w:after="0"/>
        <w:rPr>
          <w:sz w:val="20"/>
          <w:szCs w:val="20"/>
          <w:color w:val="auto"/>
        </w:rPr>
      </w:pPr>
      <w:r>
        <w:rPr>
          <w:rFonts w:ascii="Arial" w:cs="Arial" w:eastAsia="Arial" w:hAnsi="Arial"/>
          <w:sz w:val="22"/>
          <w:szCs w:val="22"/>
          <w:color w:val="auto"/>
        </w:rPr>
        <w:t>ansiedad</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111760</wp:posOffset>
            </wp:positionH>
            <wp:positionV relativeFrom="paragraph">
              <wp:posOffset>-156845</wp:posOffset>
            </wp:positionV>
            <wp:extent cx="5507990" cy="8957945"/>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a:extLst>
                        <a:ext uri="{28A0092B-C50C-407E-A947-70E740481C1C}"/>
                      </a:extLst>
                    </a:blip>
                    <a:srcRect/>
                    <a:stretch>
                      <a:fillRect/>
                    </a:stretch>
                  </pic:blipFill>
                  <pic:spPr bwMode="auto">
                    <a:xfrm>
                      <a:off x="0" y="0"/>
                      <a:ext cx="5507990" cy="8957945"/>
                    </a:xfrm>
                    <a:prstGeom prst="rect">
                      <a:avLst/>
                    </a:prstGeom>
                    <a:noFill/>
                  </pic:spPr>
                </pic:pic>
              </a:graphicData>
            </a:graphic>
          </wp:anchor>
        </w:drawing>
      </w:r>
    </w:p>
    <w:p>
      <w:pPr>
        <w:spacing w:after="0" w:line="22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Insomnio y otros trastornos del sueño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Deterioro cognitivo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Demencia</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Trastorno conductual</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Alcoholismo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Tabaquismo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Otras sustancias</w:t>
      </w:r>
    </w:p>
    <w:p>
      <w:pPr>
        <w:spacing w:after="0" w:line="248" w:lineRule="exact"/>
        <w:rPr>
          <w:sz w:val="20"/>
          <w:szCs w:val="20"/>
          <w:color w:val="auto"/>
        </w:rPr>
      </w:pPr>
    </w:p>
    <w:p>
      <w:pPr>
        <w:jc w:val="both"/>
        <w:ind w:left="300" w:right="5920" w:hanging="1"/>
        <w:spacing w:after="0" w:line="475" w:lineRule="auto"/>
        <w:tabs>
          <w:tab w:leader="none" w:pos="545" w:val="left"/>
        </w:tabs>
        <w:numPr>
          <w:ilvl w:val="0"/>
          <w:numId w:val="26"/>
        </w:numPr>
        <w:rPr>
          <w:rFonts w:ascii="Arial" w:cs="Arial" w:eastAsia="Arial" w:hAnsi="Arial"/>
          <w:sz w:val="22"/>
          <w:szCs w:val="22"/>
          <w:color w:val="auto"/>
        </w:rPr>
      </w:pPr>
      <w:r>
        <w:rPr>
          <w:rFonts w:ascii="Arial" w:cs="Arial" w:eastAsia="Arial" w:hAnsi="Arial"/>
          <w:sz w:val="22"/>
          <w:szCs w:val="22"/>
          <w:color w:val="auto"/>
        </w:rPr>
        <w:t>ATENCIÓN Y CUIDADOS Cuidados médicos/sanitarios Cuidados personales /auxiliares</w:t>
      </w:r>
    </w:p>
    <w:p>
      <w:pPr>
        <w:spacing w:after="0" w:line="1" w:lineRule="exact"/>
        <w:rPr>
          <w:sz w:val="20"/>
          <w:szCs w:val="20"/>
          <w:color w:val="auto"/>
        </w:rPr>
      </w:pPr>
    </w:p>
    <w:p>
      <w:pPr>
        <w:ind w:left="300"/>
        <w:spacing w:after="0"/>
        <w:rPr>
          <w:sz w:val="20"/>
          <w:szCs w:val="20"/>
          <w:color w:val="auto"/>
        </w:rPr>
      </w:pPr>
      <w:r>
        <w:rPr>
          <w:rFonts w:ascii="Arial" w:cs="Arial" w:eastAsia="Arial" w:hAnsi="Arial"/>
          <w:sz w:val="22"/>
          <w:szCs w:val="22"/>
          <w:color w:val="auto"/>
        </w:rPr>
        <w:t>Cuidado de residentes con enfermedad</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terminal</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Cuidado residentes encamados</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Apoyo para las Actividades de la Vida</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Diaria (AVD)</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Fisioterapia</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Gimnasia mantenimiento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Terapia Ocupacional</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Atención Social</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Atención Psicológica</w:t>
      </w:r>
    </w:p>
    <w:p>
      <w:pPr>
        <w:spacing w:after="0" w:line="248" w:lineRule="exact"/>
        <w:rPr>
          <w:sz w:val="20"/>
          <w:szCs w:val="20"/>
          <w:color w:val="auto"/>
        </w:rPr>
      </w:pPr>
    </w:p>
    <w:p>
      <w:pPr>
        <w:ind w:left="300" w:right="5660" w:hanging="1"/>
        <w:spacing w:after="0" w:line="501" w:lineRule="auto"/>
        <w:tabs>
          <w:tab w:leader="none" w:pos="606" w:val="left"/>
        </w:tabs>
        <w:numPr>
          <w:ilvl w:val="0"/>
          <w:numId w:val="27"/>
        </w:numPr>
        <w:rPr>
          <w:rFonts w:ascii="Arial" w:cs="Arial" w:eastAsia="Arial" w:hAnsi="Arial"/>
          <w:sz w:val="22"/>
          <w:szCs w:val="22"/>
          <w:color w:val="auto"/>
        </w:rPr>
      </w:pPr>
      <w:r>
        <w:rPr>
          <w:rFonts w:ascii="Arial" w:cs="Arial" w:eastAsia="Arial" w:hAnsi="Arial"/>
          <w:sz w:val="22"/>
          <w:szCs w:val="22"/>
          <w:color w:val="auto"/>
        </w:rPr>
        <w:t>ATENCIÓN SOCIOCULTURAL (Describir actividades realizadas)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3"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28</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35</w:t>
      </w:r>
    </w:p>
    <w:p>
      <w:pPr>
        <w:sectPr>
          <w:pgSz w:w="11900" w:h="16838" w:orient="portrait"/>
          <w:cols w:equalWidth="0" w:num="1">
            <w:col w:w="9340"/>
          </w:cols>
          <w:pgMar w:left="1440" w:top="56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562" w:right="1126" w:bottom="0" w:gutter="0" w:footer="0" w:header="0"/>
          <w:type w:val="continuous"/>
        </w:sectPr>
      </w:pPr>
    </w:p>
    <w:bookmarkStart w:id="28" w:name="page29"/>
    <w:bookmarkEnd w:id="28"/>
    <w:p>
      <w:pPr>
        <w:ind w:left="260"/>
        <w:spacing w:after="0"/>
        <w:rPr>
          <w:sz w:val="20"/>
          <w:szCs w:val="20"/>
          <w:color w:val="auto"/>
        </w:rPr>
      </w:pPr>
      <w:r>
        <w:rPr>
          <w:rFonts w:ascii="Arial" w:cs="Arial" w:eastAsia="Arial" w:hAnsi="Arial"/>
          <w:sz w:val="22"/>
          <w:szCs w:val="22"/>
          <w:color w:val="auto"/>
        </w:rPr>
        <w:drawing>
          <wp:anchor simplePos="0" relativeHeight="251657728" behindDoc="1" locked="0" layoutInCell="0" allowOverlap="1">
            <wp:simplePos x="0" y="0"/>
            <wp:positionH relativeFrom="page">
              <wp:posOffset>1002030</wp:posOffset>
            </wp:positionH>
            <wp:positionV relativeFrom="page">
              <wp:posOffset>665480</wp:posOffset>
            </wp:positionV>
            <wp:extent cx="5556250" cy="239331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extLst>
                        <a:ext uri="{28A0092B-C50C-407E-A947-70E740481C1C}"/>
                      </a:extLst>
                    </a:blip>
                    <a:srcRect/>
                    <a:stretch>
                      <a:fillRect/>
                    </a:stretch>
                  </pic:blipFill>
                  <pic:spPr bwMode="auto">
                    <a:xfrm>
                      <a:off x="0" y="0"/>
                      <a:ext cx="5556250" cy="2393315"/>
                    </a:xfrm>
                    <a:prstGeom prst="rect">
                      <a:avLst/>
                    </a:prstGeom>
                    <a:noFill/>
                  </pic:spPr>
                </pic:pic>
              </a:graphicData>
            </a:graphic>
          </wp:anchor>
        </w:drawing>
        <w:t>RECURSOS HUMANOS</w:t>
      </w:r>
    </w:p>
    <w:p>
      <w:pPr>
        <w:sectPr>
          <w:pgSz w:w="11900" w:h="16838" w:orient="portrait"/>
          <w:cols w:equalWidth="0" w:num="1">
            <w:col w:w="9340"/>
          </w:cols>
          <w:pgMar w:left="1440" w:top="1053" w:right="1126" w:bottom="0" w:gutter="0" w:footer="0" w:header="0"/>
        </w:sectPr>
      </w:pPr>
    </w:p>
    <w:p>
      <w:pPr>
        <w:spacing w:after="0" w:line="248" w:lineRule="exact"/>
        <w:rPr>
          <w:sz w:val="20"/>
          <w:szCs w:val="20"/>
          <w:color w:val="auto"/>
        </w:rPr>
      </w:pPr>
    </w:p>
    <w:p>
      <w:pPr>
        <w:ind w:left="260" w:right="120"/>
        <w:spacing w:after="0" w:line="243" w:lineRule="auto"/>
        <w:rPr>
          <w:sz w:val="20"/>
          <w:szCs w:val="20"/>
          <w:color w:val="auto"/>
        </w:rPr>
      </w:pPr>
      <w:r>
        <w:rPr>
          <w:rFonts w:ascii="Arial" w:cs="Arial" w:eastAsia="Arial" w:hAnsi="Arial"/>
          <w:sz w:val="22"/>
          <w:szCs w:val="22"/>
          <w:color w:val="auto"/>
        </w:rPr>
        <w:t>Categoría Nombre Profesional</w:t>
      </w:r>
    </w:p>
    <w:p>
      <w:pPr>
        <w:spacing w:after="0" w:line="1" w:lineRule="exact"/>
        <w:rPr>
          <w:sz w:val="20"/>
          <w:szCs w:val="20"/>
          <w:color w:val="auto"/>
        </w:rPr>
      </w:pPr>
    </w:p>
    <w:p>
      <w:pPr>
        <w:ind w:left="1680"/>
        <w:spacing w:after="0"/>
        <w:rPr>
          <w:sz w:val="20"/>
          <w:szCs w:val="20"/>
          <w:color w:val="auto"/>
        </w:rPr>
      </w:pPr>
      <w:r>
        <w:rPr>
          <w:rFonts w:ascii="Arial" w:cs="Arial" w:eastAsia="Arial" w:hAnsi="Arial"/>
          <w:sz w:val="22"/>
          <w:szCs w:val="22"/>
          <w:color w:val="auto"/>
        </w:rPr>
        <w:t>y</w:t>
      </w:r>
    </w:p>
    <w:p>
      <w:pPr>
        <w:spacing w:after="0" w:line="16" w:lineRule="exact"/>
        <w:rPr>
          <w:sz w:val="20"/>
          <w:szCs w:val="20"/>
          <w:color w:val="auto"/>
        </w:rPr>
      </w:pPr>
    </w:p>
    <w:p>
      <w:pPr>
        <w:ind w:left="1680"/>
        <w:spacing w:after="0"/>
        <w:rPr>
          <w:sz w:val="20"/>
          <w:szCs w:val="20"/>
          <w:color w:val="auto"/>
        </w:rPr>
      </w:pPr>
      <w:r>
        <w:rPr>
          <w:rFonts w:ascii="Arial" w:cs="Arial" w:eastAsia="Arial" w:hAnsi="Arial"/>
          <w:sz w:val="22"/>
          <w:szCs w:val="22"/>
          <w:color w:val="auto"/>
        </w:rPr>
        <w:t>Apellidos</w:t>
      </w:r>
    </w:p>
    <w:p>
      <w:pPr>
        <w:spacing w:after="0" w:line="20" w:lineRule="exact"/>
        <w:rPr>
          <w:sz w:val="20"/>
          <w:szCs w:val="20"/>
          <w:color w:val="auto"/>
        </w:rPr>
      </w:pPr>
      <w:r>
        <w:rPr>
          <w:sz w:val="20"/>
          <w:szCs w:val="20"/>
          <w:color w:val="auto"/>
        </w:rPr>
        <w:br w:type="column"/>
      </w:r>
    </w:p>
    <w:p>
      <w:pPr>
        <w:spacing w:after="0" w:line="233" w:lineRule="exact"/>
        <w:rPr>
          <w:sz w:val="20"/>
          <w:szCs w:val="20"/>
          <w:color w:val="auto"/>
        </w:rPr>
      </w:pPr>
    </w:p>
    <w:p>
      <w:pPr>
        <w:spacing w:after="0" w:line="1" w:lineRule="exact"/>
        <w:rPr>
          <w:sz w:val="1"/>
          <w:szCs w:val="1"/>
          <w:color w:val="auto"/>
        </w:rPr>
      </w:pPr>
    </w:p>
    <w:tbl>
      <w:tblPr>
        <w:tblLayout w:type="fixed"/>
        <w:tblInd w:w="0" w:type="dxa"/>
        <w:tblCellMar>
          <w:top w:w="0" w:type="dxa"/>
          <w:left w:w="0" w:type="dxa"/>
          <w:bottom w:w="0" w:type="dxa"/>
          <w:right w:w="0" w:type="dxa"/>
        </w:tblCellMar>
      </w:tblPr>
      <w:tr>
        <w:trPr>
          <w:trHeight w:val="286"/>
        </w:trPr>
        <w:tc>
          <w:tcPr>
            <w:tcW w:w="1600" w:type="dxa"/>
            <w:vAlign w:val="bottom"/>
            <w:tcBorders>
              <w:right w:val="single" w:sz="8" w:color="auto"/>
            </w:tcBorders>
          </w:tcPr>
          <w:p>
            <w:pPr>
              <w:spacing w:after="0"/>
              <w:rPr>
                <w:sz w:val="20"/>
                <w:szCs w:val="20"/>
                <w:color w:val="auto"/>
              </w:rPr>
            </w:pPr>
            <w:r>
              <w:rPr>
                <w:rFonts w:ascii="Arial" w:cs="Arial" w:eastAsia="Arial" w:hAnsi="Arial"/>
                <w:sz w:val="22"/>
                <w:szCs w:val="22"/>
                <w:color w:val="auto"/>
              </w:rPr>
              <w:t>Nº total de</w:t>
            </w:r>
          </w:p>
        </w:tc>
        <w:tc>
          <w:tcPr>
            <w:tcW w:w="112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Duración</w:t>
            </w:r>
          </w:p>
        </w:tc>
        <w:tc>
          <w:tcPr>
            <w:tcW w:w="1260" w:type="dxa"/>
            <w:vAlign w:val="bottom"/>
            <w:tcBorders>
              <w:right w:val="single" w:sz="8" w:color="auto"/>
            </w:tcBorders>
          </w:tcPr>
          <w:p>
            <w:pPr>
              <w:ind w:left="100"/>
              <w:spacing w:after="0"/>
              <w:rPr>
                <w:sz w:val="20"/>
                <w:szCs w:val="20"/>
                <w:color w:val="auto"/>
              </w:rPr>
            </w:pPr>
            <w:r>
              <w:rPr>
                <w:rFonts w:ascii="Arial" w:cs="Arial" w:eastAsia="Arial" w:hAnsi="Arial"/>
                <w:sz w:val="22"/>
                <w:szCs w:val="22"/>
                <w:color w:val="auto"/>
              </w:rPr>
              <w:t>Tipo de</w:t>
            </w:r>
          </w:p>
        </w:tc>
        <w:tc>
          <w:tcPr>
            <w:tcW w:w="1700" w:type="dxa"/>
            <w:vAlign w:val="bottom"/>
          </w:tcPr>
          <w:p>
            <w:pPr>
              <w:ind w:left="100"/>
              <w:spacing w:after="0"/>
              <w:rPr>
                <w:sz w:val="20"/>
                <w:szCs w:val="20"/>
                <w:color w:val="auto"/>
              </w:rPr>
            </w:pPr>
            <w:r>
              <w:rPr>
                <w:rFonts w:ascii="Arial" w:cs="Arial" w:eastAsia="Arial" w:hAnsi="Arial"/>
                <w:sz w:val="22"/>
                <w:szCs w:val="22"/>
                <w:color w:val="auto"/>
                <w:w w:val="97"/>
              </w:rPr>
              <w:t>Modo de acceso</w:t>
            </w:r>
          </w:p>
        </w:tc>
        <w:tc>
          <w:tcPr>
            <w:tcW w:w="0" w:type="dxa"/>
            <w:vAlign w:val="bottom"/>
          </w:tcPr>
          <w:p>
            <w:pPr>
              <w:spacing w:after="0"/>
              <w:rPr>
                <w:sz w:val="1"/>
                <w:szCs w:val="1"/>
                <w:color w:val="auto"/>
              </w:rPr>
            </w:pPr>
          </w:p>
        </w:tc>
      </w:tr>
      <w:tr>
        <w:trPr>
          <w:trHeight w:val="291"/>
        </w:trPr>
        <w:tc>
          <w:tcPr>
            <w:tcW w:w="1600" w:type="dxa"/>
            <w:vAlign w:val="bottom"/>
            <w:tcBorders>
              <w:right w:val="single" w:sz="8" w:color="auto"/>
            </w:tcBorders>
          </w:tcPr>
          <w:p>
            <w:pPr>
              <w:spacing w:after="0"/>
              <w:rPr>
                <w:sz w:val="20"/>
                <w:szCs w:val="20"/>
                <w:color w:val="auto"/>
              </w:rPr>
            </w:pPr>
            <w:r>
              <w:rPr>
                <w:rFonts w:ascii="Arial" w:cs="Arial" w:eastAsia="Arial" w:hAnsi="Arial"/>
                <w:sz w:val="22"/>
                <w:szCs w:val="22"/>
                <w:color w:val="auto"/>
              </w:rPr>
              <w:t>horas</w:t>
            </w:r>
          </w:p>
        </w:tc>
        <w:tc>
          <w:tcPr>
            <w:tcW w:w="1120" w:type="dxa"/>
            <w:vAlign w:val="bottom"/>
            <w:tcBorders>
              <w:right w:val="single" w:sz="8" w:color="auto"/>
            </w:tcBorders>
            <w:vMerge w:val="restart"/>
          </w:tcPr>
          <w:p>
            <w:pPr>
              <w:ind w:left="100"/>
              <w:spacing w:after="0"/>
              <w:rPr>
                <w:sz w:val="20"/>
                <w:szCs w:val="20"/>
                <w:color w:val="auto"/>
              </w:rPr>
            </w:pPr>
            <w:r>
              <w:rPr>
                <w:rFonts w:ascii="Arial" w:cs="Arial" w:eastAsia="Arial" w:hAnsi="Arial"/>
                <w:sz w:val="22"/>
                <w:szCs w:val="22"/>
                <w:color w:val="auto"/>
              </w:rPr>
              <w:t>del</w:t>
            </w:r>
          </w:p>
        </w:tc>
        <w:tc>
          <w:tcPr>
            <w:tcW w:w="1260" w:type="dxa"/>
            <w:vAlign w:val="bottom"/>
            <w:tcBorders>
              <w:right w:val="single" w:sz="8" w:color="auto"/>
            </w:tcBorders>
            <w:vMerge w:val="restart"/>
          </w:tcPr>
          <w:p>
            <w:pPr>
              <w:ind w:left="100"/>
              <w:spacing w:after="0"/>
              <w:rPr>
                <w:sz w:val="20"/>
                <w:szCs w:val="20"/>
                <w:color w:val="auto"/>
              </w:rPr>
            </w:pPr>
            <w:r>
              <w:rPr>
                <w:rFonts w:ascii="Arial" w:cs="Arial" w:eastAsia="Arial" w:hAnsi="Arial"/>
                <w:sz w:val="22"/>
                <w:szCs w:val="22"/>
                <w:color w:val="auto"/>
              </w:rPr>
              <w:t>Convenio</w:t>
            </w:r>
          </w:p>
        </w:tc>
        <w:tc>
          <w:tcPr>
            <w:tcW w:w="1700" w:type="dxa"/>
            <w:vAlign w:val="bottom"/>
          </w:tcPr>
          <w:p>
            <w:pPr>
              <w:ind w:left="100"/>
              <w:spacing w:after="0"/>
              <w:rPr>
                <w:sz w:val="20"/>
                <w:szCs w:val="20"/>
                <w:color w:val="auto"/>
              </w:rPr>
            </w:pPr>
            <w:r>
              <w:rPr>
                <w:rFonts w:ascii="Arial" w:cs="Arial" w:eastAsia="Arial" w:hAnsi="Arial"/>
                <w:sz w:val="22"/>
                <w:szCs w:val="22"/>
                <w:color w:val="auto"/>
              </w:rPr>
              <w:t>al puesto de</w:t>
            </w:r>
          </w:p>
        </w:tc>
        <w:tc>
          <w:tcPr>
            <w:tcW w:w="0" w:type="dxa"/>
            <w:vAlign w:val="bottom"/>
          </w:tcPr>
          <w:p>
            <w:pPr>
              <w:spacing w:after="0"/>
              <w:rPr>
                <w:sz w:val="1"/>
                <w:szCs w:val="1"/>
                <w:color w:val="auto"/>
              </w:rPr>
            </w:pPr>
          </w:p>
        </w:tc>
      </w:tr>
      <w:tr>
        <w:trPr>
          <w:trHeight w:val="200"/>
        </w:trPr>
        <w:tc>
          <w:tcPr>
            <w:tcW w:w="1600" w:type="dxa"/>
            <w:vAlign w:val="bottom"/>
            <w:tcBorders>
              <w:right w:val="single" w:sz="8" w:color="auto"/>
            </w:tcBorders>
            <w:vMerge w:val="restart"/>
          </w:tcPr>
          <w:p>
            <w:pPr>
              <w:spacing w:after="0"/>
              <w:rPr>
                <w:sz w:val="20"/>
                <w:szCs w:val="20"/>
                <w:color w:val="auto"/>
              </w:rPr>
            </w:pPr>
            <w:r>
              <w:rPr>
                <w:rFonts w:ascii="Arial" w:cs="Arial" w:eastAsia="Arial" w:hAnsi="Arial"/>
                <w:sz w:val="22"/>
                <w:szCs w:val="22"/>
                <w:color w:val="auto"/>
              </w:rPr>
              <w:t>semanales</w:t>
            </w:r>
          </w:p>
        </w:tc>
        <w:tc>
          <w:tcPr>
            <w:tcW w:w="1120" w:type="dxa"/>
            <w:vAlign w:val="bottom"/>
            <w:tcBorders>
              <w:right w:val="single" w:sz="8" w:color="auto"/>
            </w:tcBorders>
            <w:vMerge w:val="continue"/>
          </w:tcPr>
          <w:p>
            <w:pPr>
              <w:spacing w:after="0"/>
              <w:rPr>
                <w:sz w:val="17"/>
                <w:szCs w:val="17"/>
                <w:color w:val="auto"/>
              </w:rPr>
            </w:pPr>
          </w:p>
        </w:tc>
        <w:tc>
          <w:tcPr>
            <w:tcW w:w="1260" w:type="dxa"/>
            <w:vAlign w:val="bottom"/>
            <w:tcBorders>
              <w:right w:val="single" w:sz="8" w:color="auto"/>
            </w:tcBorders>
            <w:vMerge w:val="continue"/>
          </w:tcPr>
          <w:p>
            <w:pPr>
              <w:spacing w:after="0"/>
              <w:rPr>
                <w:sz w:val="17"/>
                <w:szCs w:val="17"/>
                <w:color w:val="auto"/>
              </w:rPr>
            </w:pPr>
          </w:p>
        </w:tc>
        <w:tc>
          <w:tcPr>
            <w:tcW w:w="1700" w:type="dxa"/>
            <w:vAlign w:val="bottom"/>
            <w:vMerge w:val="restart"/>
          </w:tcPr>
          <w:p>
            <w:pPr>
              <w:ind w:left="100"/>
              <w:spacing w:after="0"/>
              <w:rPr>
                <w:sz w:val="20"/>
                <w:szCs w:val="20"/>
                <w:color w:val="auto"/>
              </w:rPr>
            </w:pPr>
            <w:r>
              <w:rPr>
                <w:rFonts w:ascii="Arial" w:cs="Arial" w:eastAsia="Arial" w:hAnsi="Arial"/>
                <w:sz w:val="22"/>
                <w:szCs w:val="22"/>
                <w:color w:val="auto"/>
              </w:rPr>
              <w:t>trabajo de</w:t>
            </w:r>
          </w:p>
        </w:tc>
        <w:tc>
          <w:tcPr>
            <w:tcW w:w="0" w:type="dxa"/>
            <w:vAlign w:val="bottom"/>
          </w:tcPr>
          <w:p>
            <w:pPr>
              <w:spacing w:after="0"/>
              <w:rPr>
                <w:sz w:val="1"/>
                <w:szCs w:val="1"/>
                <w:color w:val="auto"/>
              </w:rPr>
            </w:pPr>
          </w:p>
        </w:tc>
      </w:tr>
      <w:tr>
        <w:trPr>
          <w:trHeight w:val="91"/>
        </w:trPr>
        <w:tc>
          <w:tcPr>
            <w:tcW w:w="1600" w:type="dxa"/>
            <w:vAlign w:val="bottom"/>
            <w:tcBorders>
              <w:right w:val="single" w:sz="8" w:color="auto"/>
            </w:tcBorders>
            <w:vMerge w:val="continue"/>
          </w:tcPr>
          <w:p>
            <w:pPr>
              <w:spacing w:after="0"/>
              <w:rPr>
                <w:sz w:val="7"/>
                <w:szCs w:val="7"/>
                <w:color w:val="auto"/>
              </w:rPr>
            </w:pPr>
          </w:p>
        </w:tc>
        <w:tc>
          <w:tcPr>
            <w:tcW w:w="1120" w:type="dxa"/>
            <w:vAlign w:val="bottom"/>
            <w:tcBorders>
              <w:right w:val="single" w:sz="8" w:color="auto"/>
            </w:tcBorders>
            <w:vMerge w:val="restart"/>
          </w:tcPr>
          <w:p>
            <w:pPr>
              <w:ind w:left="100"/>
              <w:spacing w:after="0"/>
              <w:rPr>
                <w:sz w:val="20"/>
                <w:szCs w:val="20"/>
                <w:color w:val="auto"/>
              </w:rPr>
            </w:pPr>
            <w:r>
              <w:rPr>
                <w:rFonts w:ascii="Arial" w:cs="Arial" w:eastAsia="Arial" w:hAnsi="Arial"/>
                <w:sz w:val="22"/>
                <w:szCs w:val="22"/>
                <w:color w:val="auto"/>
              </w:rPr>
              <w:t>Contrato</w:t>
            </w:r>
          </w:p>
        </w:tc>
        <w:tc>
          <w:tcPr>
            <w:tcW w:w="1260" w:type="dxa"/>
            <w:vAlign w:val="bottom"/>
            <w:tcBorders>
              <w:right w:val="single" w:sz="8" w:color="auto"/>
            </w:tcBorders>
          </w:tcPr>
          <w:p>
            <w:pPr>
              <w:spacing w:after="0"/>
              <w:rPr>
                <w:sz w:val="7"/>
                <w:szCs w:val="7"/>
                <w:color w:val="auto"/>
              </w:rPr>
            </w:pPr>
          </w:p>
        </w:tc>
        <w:tc>
          <w:tcPr>
            <w:tcW w:w="170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291"/>
        </w:trPr>
        <w:tc>
          <w:tcPr>
            <w:tcW w:w="1600" w:type="dxa"/>
            <w:vAlign w:val="bottom"/>
            <w:tcBorders>
              <w:right w:val="single" w:sz="8" w:color="auto"/>
            </w:tcBorders>
          </w:tcPr>
          <w:p>
            <w:pPr>
              <w:spacing w:after="0"/>
              <w:rPr>
                <w:sz w:val="20"/>
                <w:szCs w:val="20"/>
                <w:color w:val="auto"/>
              </w:rPr>
            </w:pPr>
            <w:r>
              <w:rPr>
                <w:rFonts w:ascii="Arial" w:cs="Arial" w:eastAsia="Arial" w:hAnsi="Arial"/>
                <w:sz w:val="22"/>
                <w:szCs w:val="22"/>
                <w:color w:val="auto"/>
              </w:rPr>
              <w:t>destinadas a la</w:t>
            </w:r>
          </w:p>
        </w:tc>
        <w:tc>
          <w:tcPr>
            <w:tcW w:w="1120" w:type="dxa"/>
            <w:vAlign w:val="bottom"/>
            <w:tcBorders>
              <w:right w:val="single" w:sz="8" w:color="auto"/>
            </w:tcBorders>
            <w:vMerge w:val="continue"/>
          </w:tcPr>
          <w:p>
            <w:pPr>
              <w:spacing w:after="0"/>
              <w:rPr>
                <w:sz w:val="24"/>
                <w:szCs w:val="24"/>
                <w:color w:val="auto"/>
              </w:rPr>
            </w:pPr>
          </w:p>
        </w:tc>
        <w:tc>
          <w:tcPr>
            <w:tcW w:w="1260" w:type="dxa"/>
            <w:vAlign w:val="bottom"/>
            <w:tcBorders>
              <w:right w:val="single" w:sz="8" w:color="auto"/>
            </w:tcBorders>
            <w:vMerge w:val="restart"/>
          </w:tcPr>
          <w:p>
            <w:pPr>
              <w:ind w:left="100"/>
              <w:spacing w:after="0"/>
              <w:rPr>
                <w:sz w:val="20"/>
                <w:szCs w:val="20"/>
                <w:color w:val="auto"/>
              </w:rPr>
            </w:pPr>
            <w:r>
              <w:rPr>
                <w:rFonts w:ascii="Arial" w:cs="Arial" w:eastAsia="Arial" w:hAnsi="Arial"/>
                <w:sz w:val="22"/>
                <w:szCs w:val="22"/>
                <w:color w:val="auto"/>
              </w:rPr>
              <w:t>Aplicado</w:t>
            </w:r>
          </w:p>
        </w:tc>
        <w:tc>
          <w:tcPr>
            <w:tcW w:w="1700" w:type="dxa"/>
            <w:vAlign w:val="bottom"/>
          </w:tcPr>
          <w:p>
            <w:pPr>
              <w:ind w:left="100"/>
              <w:spacing w:after="0"/>
              <w:rPr>
                <w:sz w:val="20"/>
                <w:szCs w:val="20"/>
                <w:color w:val="auto"/>
              </w:rPr>
            </w:pPr>
            <w:r>
              <w:rPr>
                <w:rFonts w:ascii="Arial" w:cs="Arial" w:eastAsia="Arial" w:hAnsi="Arial"/>
                <w:sz w:val="22"/>
                <w:szCs w:val="22"/>
                <w:color w:val="auto"/>
              </w:rPr>
              <w:t>acuerdo</w:t>
            </w:r>
          </w:p>
        </w:tc>
        <w:tc>
          <w:tcPr>
            <w:tcW w:w="0" w:type="dxa"/>
            <w:vAlign w:val="bottom"/>
          </w:tcPr>
          <w:p>
            <w:pPr>
              <w:spacing w:after="0"/>
              <w:rPr>
                <w:sz w:val="1"/>
                <w:szCs w:val="1"/>
                <w:color w:val="auto"/>
              </w:rPr>
            </w:pPr>
          </w:p>
        </w:tc>
      </w:tr>
      <w:tr>
        <w:trPr>
          <w:trHeight w:val="109"/>
        </w:trPr>
        <w:tc>
          <w:tcPr>
            <w:tcW w:w="1600" w:type="dxa"/>
            <w:vAlign w:val="bottom"/>
            <w:tcBorders>
              <w:right w:val="single" w:sz="8" w:color="auto"/>
            </w:tcBorders>
            <w:vMerge w:val="restart"/>
          </w:tcPr>
          <w:p>
            <w:pPr>
              <w:spacing w:after="0"/>
              <w:rPr>
                <w:sz w:val="20"/>
                <w:szCs w:val="20"/>
                <w:color w:val="auto"/>
              </w:rPr>
            </w:pPr>
            <w:r>
              <w:rPr>
                <w:rFonts w:ascii="Arial" w:cs="Arial" w:eastAsia="Arial" w:hAnsi="Arial"/>
                <w:sz w:val="22"/>
                <w:szCs w:val="22"/>
                <w:color w:val="auto"/>
              </w:rPr>
              <w:t>ejecución de la</w:t>
            </w:r>
          </w:p>
        </w:tc>
        <w:tc>
          <w:tcPr>
            <w:tcW w:w="1120" w:type="dxa"/>
            <w:vAlign w:val="bottom"/>
            <w:tcBorders>
              <w:right w:val="single" w:sz="8" w:color="auto"/>
            </w:tcBorders>
          </w:tcPr>
          <w:p>
            <w:pPr>
              <w:spacing w:after="0"/>
              <w:rPr>
                <w:sz w:val="9"/>
                <w:szCs w:val="9"/>
                <w:color w:val="auto"/>
              </w:rPr>
            </w:pPr>
          </w:p>
        </w:tc>
        <w:tc>
          <w:tcPr>
            <w:tcW w:w="1260" w:type="dxa"/>
            <w:vAlign w:val="bottom"/>
            <w:tcBorders>
              <w:right w:val="single" w:sz="8" w:color="auto"/>
            </w:tcBorders>
            <w:vMerge w:val="continue"/>
          </w:tcPr>
          <w:p>
            <w:pPr>
              <w:spacing w:after="0"/>
              <w:rPr>
                <w:sz w:val="9"/>
                <w:szCs w:val="9"/>
                <w:color w:val="auto"/>
              </w:rPr>
            </w:pPr>
          </w:p>
        </w:tc>
        <w:tc>
          <w:tcPr>
            <w:tcW w:w="1700" w:type="dxa"/>
            <w:vAlign w:val="bottom"/>
            <w:vMerge w:val="restart"/>
          </w:tcPr>
          <w:p>
            <w:pPr>
              <w:ind w:left="100"/>
              <w:spacing w:after="0"/>
              <w:rPr>
                <w:sz w:val="20"/>
                <w:szCs w:val="20"/>
                <w:color w:val="auto"/>
              </w:rPr>
            </w:pPr>
            <w:r>
              <w:rPr>
                <w:rFonts w:ascii="Arial" w:cs="Arial" w:eastAsia="Arial" w:hAnsi="Arial"/>
                <w:sz w:val="22"/>
                <w:szCs w:val="22"/>
                <w:color w:val="auto"/>
              </w:rPr>
              <w:t>(convocatoria</w:t>
            </w:r>
          </w:p>
        </w:tc>
        <w:tc>
          <w:tcPr>
            <w:tcW w:w="0" w:type="dxa"/>
            <w:vAlign w:val="bottom"/>
          </w:tcPr>
          <w:p>
            <w:pPr>
              <w:spacing w:after="0"/>
              <w:rPr>
                <w:sz w:val="1"/>
                <w:szCs w:val="1"/>
                <w:color w:val="auto"/>
              </w:rPr>
            </w:pPr>
          </w:p>
        </w:tc>
      </w:tr>
      <w:tr>
        <w:trPr>
          <w:trHeight w:val="182"/>
        </w:trPr>
        <w:tc>
          <w:tcPr>
            <w:tcW w:w="1600" w:type="dxa"/>
            <w:vAlign w:val="bottom"/>
            <w:tcBorders>
              <w:right w:val="single" w:sz="8" w:color="auto"/>
            </w:tcBorders>
            <w:vMerge w:val="continue"/>
          </w:tcPr>
          <w:p>
            <w:pPr>
              <w:spacing w:after="0"/>
              <w:rPr>
                <w:sz w:val="15"/>
                <w:szCs w:val="15"/>
                <w:color w:val="auto"/>
              </w:rPr>
            </w:pPr>
          </w:p>
        </w:tc>
        <w:tc>
          <w:tcPr>
            <w:tcW w:w="1120" w:type="dxa"/>
            <w:vAlign w:val="bottom"/>
            <w:tcBorders>
              <w:right w:val="single" w:sz="8" w:color="auto"/>
            </w:tcBorders>
          </w:tcPr>
          <w:p>
            <w:pPr>
              <w:spacing w:after="0"/>
              <w:rPr>
                <w:sz w:val="15"/>
                <w:szCs w:val="15"/>
                <w:color w:val="auto"/>
              </w:rPr>
            </w:pPr>
          </w:p>
        </w:tc>
        <w:tc>
          <w:tcPr>
            <w:tcW w:w="1260" w:type="dxa"/>
            <w:vAlign w:val="bottom"/>
            <w:tcBorders>
              <w:right w:val="single" w:sz="8" w:color="auto"/>
            </w:tcBorders>
          </w:tcPr>
          <w:p>
            <w:pPr>
              <w:spacing w:after="0"/>
              <w:rPr>
                <w:sz w:val="15"/>
                <w:szCs w:val="15"/>
                <w:color w:val="auto"/>
              </w:rPr>
            </w:pPr>
          </w:p>
        </w:tc>
        <w:tc>
          <w:tcPr>
            <w:tcW w:w="1700" w:type="dxa"/>
            <w:vAlign w:val="bottom"/>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291"/>
        </w:trPr>
        <w:tc>
          <w:tcPr>
            <w:tcW w:w="1600" w:type="dxa"/>
            <w:vAlign w:val="bottom"/>
            <w:tcBorders>
              <w:right w:val="single" w:sz="8" w:color="auto"/>
            </w:tcBorders>
          </w:tcPr>
          <w:p>
            <w:pPr>
              <w:spacing w:after="0"/>
              <w:rPr>
                <w:sz w:val="20"/>
                <w:szCs w:val="20"/>
                <w:color w:val="auto"/>
              </w:rPr>
            </w:pPr>
            <w:r>
              <w:rPr>
                <w:rFonts w:ascii="Arial" w:cs="Arial" w:eastAsia="Arial" w:hAnsi="Arial"/>
                <w:sz w:val="22"/>
                <w:szCs w:val="22"/>
                <w:color w:val="auto"/>
              </w:rPr>
              <w:t>actividad</w:t>
            </w:r>
          </w:p>
        </w:tc>
        <w:tc>
          <w:tcPr>
            <w:tcW w:w="1120" w:type="dxa"/>
            <w:vAlign w:val="bottom"/>
            <w:tcBorders>
              <w:right w:val="single" w:sz="8" w:color="auto"/>
            </w:tcBorders>
          </w:tcPr>
          <w:p>
            <w:pPr>
              <w:spacing w:after="0"/>
              <w:rPr>
                <w:sz w:val="24"/>
                <w:szCs w:val="24"/>
                <w:color w:val="auto"/>
              </w:rPr>
            </w:pPr>
          </w:p>
        </w:tc>
        <w:tc>
          <w:tcPr>
            <w:tcW w:w="1260" w:type="dxa"/>
            <w:vAlign w:val="bottom"/>
            <w:tcBorders>
              <w:right w:val="single" w:sz="8" w:color="auto"/>
            </w:tcBorders>
          </w:tcPr>
          <w:p>
            <w:pPr>
              <w:spacing w:after="0"/>
              <w:rPr>
                <w:sz w:val="24"/>
                <w:szCs w:val="24"/>
                <w:color w:val="auto"/>
              </w:rPr>
            </w:pPr>
          </w:p>
        </w:tc>
        <w:tc>
          <w:tcPr>
            <w:tcW w:w="1700" w:type="dxa"/>
            <w:vAlign w:val="bottom"/>
          </w:tcPr>
          <w:p>
            <w:pPr>
              <w:ind w:left="100"/>
              <w:spacing w:after="0"/>
              <w:rPr>
                <w:sz w:val="20"/>
                <w:szCs w:val="20"/>
                <w:color w:val="auto"/>
              </w:rPr>
            </w:pPr>
            <w:r>
              <w:rPr>
                <w:rFonts w:ascii="Arial" w:cs="Arial" w:eastAsia="Arial" w:hAnsi="Arial"/>
                <w:sz w:val="22"/>
                <w:szCs w:val="22"/>
                <w:color w:val="auto"/>
              </w:rPr>
              <w:t>pública, lista de</w:t>
            </w:r>
          </w:p>
        </w:tc>
        <w:tc>
          <w:tcPr>
            <w:tcW w:w="0" w:type="dxa"/>
            <w:vAlign w:val="bottom"/>
          </w:tcPr>
          <w:p>
            <w:pPr>
              <w:spacing w:after="0"/>
              <w:rPr>
                <w:sz w:val="1"/>
                <w:szCs w:val="1"/>
                <w:color w:val="auto"/>
              </w:rPr>
            </w:pPr>
          </w:p>
        </w:tc>
      </w:tr>
      <w:tr>
        <w:trPr>
          <w:trHeight w:val="291"/>
        </w:trPr>
        <w:tc>
          <w:tcPr>
            <w:tcW w:w="1600" w:type="dxa"/>
            <w:vAlign w:val="bottom"/>
            <w:tcBorders>
              <w:right w:val="single" w:sz="8" w:color="auto"/>
            </w:tcBorders>
          </w:tcPr>
          <w:p>
            <w:pPr>
              <w:spacing w:after="0"/>
              <w:rPr>
                <w:sz w:val="20"/>
                <w:szCs w:val="20"/>
                <w:color w:val="auto"/>
              </w:rPr>
            </w:pPr>
            <w:r>
              <w:rPr>
                <w:rFonts w:ascii="Arial" w:cs="Arial" w:eastAsia="Arial" w:hAnsi="Arial"/>
                <w:sz w:val="22"/>
                <w:szCs w:val="22"/>
                <w:color w:val="auto"/>
              </w:rPr>
              <w:t>subvencionada</w:t>
            </w:r>
          </w:p>
        </w:tc>
        <w:tc>
          <w:tcPr>
            <w:tcW w:w="1120" w:type="dxa"/>
            <w:vAlign w:val="bottom"/>
            <w:tcBorders>
              <w:right w:val="single" w:sz="8" w:color="auto"/>
            </w:tcBorders>
          </w:tcPr>
          <w:p>
            <w:pPr>
              <w:spacing w:after="0"/>
              <w:rPr>
                <w:sz w:val="24"/>
                <w:szCs w:val="24"/>
                <w:color w:val="auto"/>
              </w:rPr>
            </w:pPr>
          </w:p>
        </w:tc>
        <w:tc>
          <w:tcPr>
            <w:tcW w:w="1260" w:type="dxa"/>
            <w:vAlign w:val="bottom"/>
            <w:tcBorders>
              <w:right w:val="single" w:sz="8" w:color="auto"/>
            </w:tcBorders>
          </w:tcPr>
          <w:p>
            <w:pPr>
              <w:spacing w:after="0"/>
              <w:rPr>
                <w:sz w:val="24"/>
                <w:szCs w:val="24"/>
                <w:color w:val="auto"/>
              </w:rPr>
            </w:pPr>
          </w:p>
        </w:tc>
        <w:tc>
          <w:tcPr>
            <w:tcW w:w="1700" w:type="dxa"/>
            <w:vAlign w:val="bottom"/>
          </w:tcPr>
          <w:p>
            <w:pPr>
              <w:ind w:left="100"/>
              <w:spacing w:after="0"/>
              <w:rPr>
                <w:sz w:val="20"/>
                <w:szCs w:val="20"/>
                <w:color w:val="auto"/>
              </w:rPr>
            </w:pPr>
            <w:r>
              <w:rPr>
                <w:rFonts w:ascii="Arial" w:cs="Arial" w:eastAsia="Arial" w:hAnsi="Arial"/>
                <w:sz w:val="22"/>
                <w:szCs w:val="22"/>
                <w:color w:val="auto"/>
              </w:rPr>
              <w:t>reserva, etc.)</w:t>
            </w:r>
          </w:p>
        </w:tc>
        <w:tc>
          <w:tcPr>
            <w:tcW w:w="0" w:type="dxa"/>
            <w:vAlign w:val="bottom"/>
          </w:tcPr>
          <w:p>
            <w:pPr>
              <w:spacing w:after="0"/>
              <w:rPr>
                <w:sz w:val="1"/>
                <w:szCs w:val="1"/>
                <w:color w:val="auto"/>
              </w:rPr>
            </w:pPr>
          </w:p>
        </w:tc>
      </w:tr>
      <w:tr>
        <w:trPr>
          <w:trHeight w:val="1226"/>
        </w:trPr>
        <w:tc>
          <w:tcPr>
            <w:tcW w:w="1600" w:type="dxa"/>
            <w:vAlign w:val="bottom"/>
            <w:tcBorders>
              <w:right w:val="single" w:sz="8" w:color="auto"/>
            </w:tcBorders>
          </w:tcPr>
          <w:p>
            <w:pPr>
              <w:spacing w:after="0"/>
              <w:rPr>
                <w:sz w:val="24"/>
                <w:szCs w:val="24"/>
                <w:color w:val="auto"/>
              </w:rPr>
            </w:pPr>
          </w:p>
        </w:tc>
        <w:tc>
          <w:tcPr>
            <w:tcW w:w="1120" w:type="dxa"/>
            <w:vAlign w:val="bottom"/>
            <w:tcBorders>
              <w:right w:val="single" w:sz="8" w:color="auto"/>
            </w:tcBorders>
          </w:tcPr>
          <w:p>
            <w:pPr>
              <w:spacing w:after="0"/>
              <w:rPr>
                <w:sz w:val="24"/>
                <w:szCs w:val="24"/>
                <w:color w:val="auto"/>
              </w:rPr>
            </w:pPr>
          </w:p>
        </w:tc>
        <w:tc>
          <w:tcPr>
            <w:tcW w:w="1260" w:type="dxa"/>
            <w:vAlign w:val="bottom"/>
            <w:tcBorders>
              <w:right w:val="single" w:sz="8" w:color="auto"/>
            </w:tcBorders>
          </w:tcPr>
          <w:p>
            <w:pPr>
              <w:spacing w:after="0"/>
              <w:rPr>
                <w:sz w:val="24"/>
                <w:szCs w:val="24"/>
                <w:color w:val="auto"/>
              </w:rPr>
            </w:pPr>
          </w:p>
        </w:tc>
        <w:tc>
          <w:tcPr>
            <w:tcW w:w="170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-1716405</wp:posOffset>
            </wp:positionH>
            <wp:positionV relativeFrom="paragraph">
              <wp:posOffset>305435</wp:posOffset>
            </wp:positionV>
            <wp:extent cx="5507990" cy="197231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6">
                      <a:extLst>
                        <a:ext uri="{28A0092B-C50C-407E-A947-70E740481C1C}"/>
                      </a:extLst>
                    </a:blip>
                    <a:srcRect/>
                    <a:stretch>
                      <a:fillRect/>
                    </a:stretch>
                  </pic:blipFill>
                  <pic:spPr bwMode="auto">
                    <a:xfrm>
                      <a:off x="0" y="0"/>
                      <a:ext cx="5507990" cy="1972310"/>
                    </a:xfrm>
                    <a:prstGeom prst="rect">
                      <a:avLst/>
                    </a:prstGeom>
                    <a:noFill/>
                  </pic:spPr>
                </pic:pic>
              </a:graphicData>
            </a:graphic>
          </wp:anchor>
        </w:drawing>
      </w:r>
    </w:p>
    <w:p>
      <w:pPr>
        <w:spacing w:after="0" w:line="200" w:lineRule="exact"/>
        <w:rPr>
          <w:sz w:val="20"/>
          <w:szCs w:val="20"/>
          <w:color w:val="auto"/>
        </w:rPr>
      </w:pPr>
    </w:p>
    <w:p>
      <w:pPr>
        <w:sectPr>
          <w:pgSz w:w="11900" w:h="16838" w:orient="portrait"/>
          <w:cols w:equalWidth="0" w:num="2">
            <w:col w:w="2580" w:space="300"/>
            <w:col w:w="6460"/>
          </w:cols>
          <w:pgMar w:left="1440" w:top="1053" w:right="1126" w:bottom="0" w:gutter="0" w:footer="0" w:header="0"/>
          <w:type w:val="continuous"/>
        </w:sectPr>
      </w:pPr>
    </w:p>
    <w:p>
      <w:pPr>
        <w:spacing w:after="0" w:line="286" w:lineRule="exact"/>
        <w:rPr>
          <w:sz w:val="20"/>
          <w:szCs w:val="20"/>
          <w:color w:val="auto"/>
        </w:rPr>
      </w:pPr>
    </w:p>
    <w:p>
      <w:pPr>
        <w:ind w:left="300"/>
        <w:spacing w:after="0"/>
        <w:rPr>
          <w:sz w:val="20"/>
          <w:szCs w:val="20"/>
          <w:color w:val="auto"/>
        </w:rPr>
      </w:pPr>
      <w:r>
        <w:rPr>
          <w:rFonts w:ascii="Arial" w:cs="Arial" w:eastAsia="Arial" w:hAnsi="Arial"/>
          <w:sz w:val="22"/>
          <w:szCs w:val="22"/>
          <w:color w:val="auto"/>
        </w:rPr>
        <w:t>ORGANIZACIÓN Y FUNCIONAMIENTO</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Funciones plantilla</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personal</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Turnos y horarios</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Períodos</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vacacionales</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Protocolos utilizados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111760</wp:posOffset>
            </wp:positionH>
            <wp:positionV relativeFrom="paragraph">
              <wp:posOffset>472440</wp:posOffset>
            </wp:positionV>
            <wp:extent cx="5507990" cy="2635885"/>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extLst>
                        <a:ext uri="{28A0092B-C50C-407E-A947-70E740481C1C}"/>
                      </a:extLst>
                    </a:blip>
                    <a:srcRect/>
                    <a:stretch>
                      <a:fillRect/>
                    </a:stretch>
                  </pic:blipFill>
                  <pic:spPr bwMode="auto">
                    <a:xfrm>
                      <a:off x="0" y="0"/>
                      <a:ext cx="5507990" cy="26358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300"/>
        <w:spacing w:after="0"/>
        <w:tabs>
          <w:tab w:leader="none" w:pos="2660" w:val="left"/>
        </w:tabs>
        <w:rPr>
          <w:sz w:val="20"/>
          <w:szCs w:val="20"/>
          <w:color w:val="auto"/>
        </w:rPr>
      </w:pPr>
      <w:r>
        <w:rPr>
          <w:rFonts w:ascii="Arial" w:cs="Arial" w:eastAsia="Arial" w:hAnsi="Arial"/>
          <w:sz w:val="22"/>
          <w:szCs w:val="22"/>
          <w:color w:val="auto"/>
        </w:rPr>
        <w:t>Divulgación</w:t>
      </w:r>
      <w:r>
        <w:rPr>
          <w:sz w:val="20"/>
          <w:szCs w:val="20"/>
          <w:color w:val="auto"/>
        </w:rPr>
        <w:tab/>
      </w:r>
      <w:r>
        <w:rPr>
          <w:rFonts w:ascii="Arial" w:cs="Arial" w:eastAsia="Arial" w:hAnsi="Arial"/>
          <w:sz w:val="22"/>
          <w:szCs w:val="22"/>
          <w:color w:val="auto"/>
        </w:rPr>
        <w:t>y</w:t>
      </w:r>
    </w:p>
    <w:p>
      <w:pPr>
        <w:spacing w:after="0" w:line="38" w:lineRule="exact"/>
        <w:rPr>
          <w:sz w:val="20"/>
          <w:szCs w:val="20"/>
          <w:color w:val="auto"/>
        </w:rPr>
      </w:pPr>
    </w:p>
    <w:p>
      <w:pPr>
        <w:ind w:left="300"/>
        <w:spacing w:after="0"/>
        <w:tabs>
          <w:tab w:leader="none" w:pos="1980" w:val="left"/>
        </w:tabs>
        <w:rPr>
          <w:sz w:val="20"/>
          <w:szCs w:val="20"/>
          <w:color w:val="auto"/>
        </w:rPr>
      </w:pPr>
      <w:r>
        <w:rPr>
          <w:rFonts w:ascii="Arial" w:cs="Arial" w:eastAsia="Arial" w:hAnsi="Arial"/>
          <w:sz w:val="22"/>
          <w:szCs w:val="22"/>
          <w:color w:val="auto"/>
        </w:rPr>
        <w:t>Sensibilización</w:t>
        <w:tab/>
        <w:t>(medios</w:t>
      </w:r>
    </w:p>
    <w:p>
      <w:pPr>
        <w:spacing w:after="0" w:line="38" w:lineRule="exact"/>
        <w:rPr>
          <w:sz w:val="20"/>
          <w:szCs w:val="20"/>
          <w:color w:val="auto"/>
        </w:rPr>
      </w:pPr>
    </w:p>
    <w:p>
      <w:pPr>
        <w:ind w:left="300"/>
        <w:spacing w:after="0"/>
        <w:tabs>
          <w:tab w:leader="none" w:pos="1480" w:val="left"/>
        </w:tabs>
        <w:rPr>
          <w:sz w:val="20"/>
          <w:szCs w:val="20"/>
          <w:color w:val="auto"/>
        </w:rPr>
      </w:pPr>
      <w:r>
        <w:rPr>
          <w:rFonts w:ascii="Arial" w:cs="Arial" w:eastAsia="Arial" w:hAnsi="Arial"/>
          <w:sz w:val="22"/>
          <w:szCs w:val="22"/>
          <w:color w:val="auto"/>
        </w:rPr>
        <w:t>y/o</w:t>
      </w:r>
      <w:r>
        <w:rPr>
          <w:sz w:val="20"/>
          <w:szCs w:val="20"/>
          <w:color w:val="auto"/>
        </w:rPr>
        <w:tab/>
      </w:r>
      <w:r>
        <w:rPr>
          <w:rFonts w:ascii="Arial" w:cs="Arial" w:eastAsia="Arial" w:hAnsi="Arial"/>
          <w:sz w:val="22"/>
          <w:szCs w:val="22"/>
          <w:color w:val="auto"/>
        </w:rPr>
        <w:t>herramientas</w:t>
      </w:r>
    </w:p>
    <w:p>
      <w:pPr>
        <w:spacing w:after="0" w:line="38" w:lineRule="exact"/>
        <w:rPr>
          <w:sz w:val="20"/>
          <w:szCs w:val="20"/>
          <w:color w:val="auto"/>
        </w:rPr>
      </w:pPr>
    </w:p>
    <w:p>
      <w:pPr>
        <w:ind w:left="300"/>
        <w:spacing w:after="0"/>
        <w:tabs>
          <w:tab w:leader="none" w:pos="1420" w:val="left"/>
          <w:tab w:leader="none" w:pos="2100" w:val="left"/>
          <w:tab w:leader="none" w:pos="2640" w:val="left"/>
        </w:tabs>
        <w:rPr>
          <w:sz w:val="20"/>
          <w:szCs w:val="20"/>
          <w:color w:val="auto"/>
        </w:rPr>
      </w:pPr>
      <w:r>
        <w:rPr>
          <w:rFonts w:ascii="Arial" w:cs="Arial" w:eastAsia="Arial" w:hAnsi="Arial"/>
          <w:sz w:val="22"/>
          <w:szCs w:val="22"/>
          <w:color w:val="auto"/>
        </w:rPr>
        <w:t>utilizados</w:t>
        <w:tab/>
        <w:t>para</w:t>
        <w:tab/>
        <w:t>dar</w:t>
        <w:tab/>
        <w:t>a</w:t>
      </w:r>
    </w:p>
    <w:p>
      <w:pPr>
        <w:spacing w:after="0" w:line="38" w:lineRule="exact"/>
        <w:rPr>
          <w:sz w:val="20"/>
          <w:szCs w:val="20"/>
          <w:color w:val="auto"/>
        </w:rPr>
      </w:pPr>
    </w:p>
    <w:p>
      <w:pPr>
        <w:ind w:left="300"/>
        <w:spacing w:after="0"/>
        <w:tabs>
          <w:tab w:leader="none" w:pos="1400" w:val="left"/>
          <w:tab w:leader="none" w:pos="1900" w:val="left"/>
        </w:tabs>
        <w:rPr>
          <w:sz w:val="20"/>
          <w:szCs w:val="20"/>
          <w:color w:val="auto"/>
        </w:rPr>
      </w:pPr>
      <w:r>
        <w:rPr>
          <w:rFonts w:ascii="Arial" w:cs="Arial" w:eastAsia="Arial" w:hAnsi="Arial"/>
          <w:sz w:val="22"/>
          <w:szCs w:val="22"/>
          <w:color w:val="auto"/>
        </w:rPr>
        <w:t>conocer</w:t>
        <w:tab/>
        <w:t>la</w:t>
        <w:tab/>
        <w:t>actividad</w:t>
      </w:r>
    </w:p>
    <w:p>
      <w:pPr>
        <w:spacing w:after="0" w:line="38" w:lineRule="exact"/>
        <w:rPr>
          <w:sz w:val="20"/>
          <w:szCs w:val="20"/>
          <w:color w:val="auto"/>
        </w:rPr>
      </w:pPr>
    </w:p>
    <w:p>
      <w:pPr>
        <w:ind w:left="300"/>
        <w:spacing w:after="0"/>
        <w:tabs>
          <w:tab w:leader="none" w:pos="1980" w:val="left"/>
          <w:tab w:leader="none" w:pos="2340" w:val="left"/>
        </w:tabs>
        <w:rPr>
          <w:sz w:val="20"/>
          <w:szCs w:val="20"/>
          <w:color w:val="auto"/>
        </w:rPr>
      </w:pPr>
      <w:r>
        <w:rPr>
          <w:rFonts w:ascii="Arial" w:cs="Arial" w:eastAsia="Arial" w:hAnsi="Arial"/>
          <w:sz w:val="22"/>
          <w:szCs w:val="22"/>
          <w:color w:val="auto"/>
        </w:rPr>
        <w:t>subvencionada</w:t>
        <w:tab/>
        <w:t>y</w:t>
      </w:r>
      <w:r>
        <w:rPr>
          <w:sz w:val="20"/>
          <w:szCs w:val="20"/>
          <w:color w:val="auto"/>
        </w:rPr>
        <w:tab/>
      </w:r>
      <w:r>
        <w:rPr>
          <w:rFonts w:ascii="Arial" w:cs="Arial" w:eastAsia="Arial" w:hAnsi="Arial"/>
          <w:sz w:val="21"/>
          <w:szCs w:val="21"/>
          <w:color w:val="auto"/>
        </w:rPr>
        <w:t>para</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dar cumplimiento de las</w:t>
      </w:r>
    </w:p>
    <w:p>
      <w:pPr>
        <w:spacing w:after="0" w:line="38" w:lineRule="exact"/>
        <w:rPr>
          <w:sz w:val="20"/>
          <w:szCs w:val="20"/>
          <w:color w:val="auto"/>
        </w:rPr>
      </w:pPr>
    </w:p>
    <w:p>
      <w:pPr>
        <w:ind w:left="300"/>
        <w:spacing w:after="0"/>
        <w:tabs>
          <w:tab w:leader="none" w:pos="1300" w:val="left"/>
          <w:tab w:leader="none" w:pos="1720" w:val="left"/>
          <w:tab w:leader="none" w:pos="2660" w:val="left"/>
        </w:tabs>
        <w:rPr>
          <w:sz w:val="20"/>
          <w:szCs w:val="20"/>
          <w:color w:val="auto"/>
        </w:rPr>
      </w:pPr>
      <w:r>
        <w:rPr>
          <w:rFonts w:ascii="Arial" w:cs="Arial" w:eastAsia="Arial" w:hAnsi="Arial"/>
          <w:sz w:val="22"/>
          <w:szCs w:val="22"/>
          <w:color w:val="auto"/>
        </w:rPr>
        <w:t>medidas</w:t>
        <w:tab/>
        <w:t>de</w:t>
        <w:tab/>
        <w:t>difusión</w:t>
        <w:tab/>
        <w:t>y</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publicidad previstas en el</w:t>
      </w:r>
    </w:p>
    <w:p>
      <w:pPr>
        <w:spacing w:after="0" w:line="3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la subvención.)</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Memoria Fotográfica</w:t>
      </w:r>
    </w:p>
    <w:p>
      <w:pPr>
        <w:spacing w:after="0" w:line="248" w:lineRule="exact"/>
        <w:rPr>
          <w:sz w:val="20"/>
          <w:szCs w:val="20"/>
          <w:color w:val="auto"/>
        </w:rPr>
      </w:pPr>
    </w:p>
    <w:p>
      <w:pPr>
        <w:ind w:left="300"/>
        <w:spacing w:after="0"/>
        <w:rPr>
          <w:sz w:val="20"/>
          <w:szCs w:val="20"/>
          <w:color w:val="auto"/>
        </w:rPr>
      </w:pPr>
      <w:r>
        <w:rPr>
          <w:rFonts w:ascii="Arial" w:cs="Arial" w:eastAsia="Arial" w:hAnsi="Arial"/>
          <w:sz w:val="22"/>
          <w:szCs w:val="22"/>
          <w:color w:val="auto"/>
        </w:rPr>
        <w:t>PLAN DE FINANCIACIÓN</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111760</wp:posOffset>
            </wp:positionH>
            <wp:positionV relativeFrom="paragraph">
              <wp:posOffset>472440</wp:posOffset>
            </wp:positionV>
            <wp:extent cx="5507990" cy="833755"/>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extLst>
                        <a:ext uri="{28A0092B-C50C-407E-A947-70E740481C1C}"/>
                      </a:extLst>
                    </a:blip>
                    <a:srcRect/>
                    <a:stretch>
                      <a:fillRect/>
                    </a:stretch>
                  </pic:blipFill>
                  <pic:spPr bwMode="auto">
                    <a:xfrm>
                      <a:off x="0" y="0"/>
                      <a:ext cx="5507990" cy="8337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tbl>
      <w:tblPr>
        <w:tblLayout w:type="fixed"/>
        <w:tblInd w:w="300" w:type="dxa"/>
        <w:tblCellMar>
          <w:top w:w="0" w:type="dxa"/>
          <w:left w:w="0" w:type="dxa"/>
          <w:bottom w:w="0" w:type="dxa"/>
          <w:right w:w="0" w:type="dxa"/>
        </w:tblCellMar>
      </w:tblPr>
      <w:tr>
        <w:trPr>
          <w:trHeight w:val="291"/>
        </w:trPr>
        <w:tc>
          <w:tcPr>
            <w:tcW w:w="5620" w:type="dxa"/>
            <w:vAlign w:val="bottom"/>
          </w:tcPr>
          <w:p>
            <w:pPr>
              <w:spacing w:after="0"/>
              <w:rPr>
                <w:sz w:val="20"/>
                <w:szCs w:val="20"/>
                <w:color w:val="auto"/>
              </w:rPr>
            </w:pPr>
            <w:r>
              <w:rPr>
                <w:rFonts w:ascii="Arial" w:cs="Arial" w:eastAsia="Arial" w:hAnsi="Arial"/>
                <w:sz w:val="22"/>
                <w:szCs w:val="22"/>
                <w:color w:val="auto"/>
              </w:rPr>
              <w:t>GASTOS Y FUENTES DE FINANCIACIÓN</w:t>
            </w:r>
          </w:p>
        </w:tc>
        <w:tc>
          <w:tcPr>
            <w:tcW w:w="2720" w:type="dxa"/>
            <w:vAlign w:val="bottom"/>
          </w:tcPr>
          <w:p>
            <w:pPr>
              <w:ind w:left="1380"/>
              <w:spacing w:after="0"/>
              <w:rPr>
                <w:sz w:val="20"/>
                <w:szCs w:val="20"/>
                <w:color w:val="auto"/>
              </w:rPr>
            </w:pPr>
            <w:r>
              <w:rPr>
                <w:rFonts w:ascii="Arial" w:cs="Arial" w:eastAsia="Arial" w:hAnsi="Arial"/>
                <w:sz w:val="22"/>
                <w:szCs w:val="22"/>
                <w:color w:val="auto"/>
                <w:w w:val="99"/>
              </w:rPr>
              <w:t>IMPORTE (€)</w:t>
            </w:r>
          </w:p>
        </w:tc>
      </w:tr>
    </w:tbl>
    <w:p>
      <w:pPr>
        <w:spacing w:after="0" w:line="210" w:lineRule="exact"/>
        <w:rPr>
          <w:sz w:val="20"/>
          <w:szCs w:val="20"/>
          <w:color w:val="auto"/>
        </w:rPr>
      </w:pPr>
    </w:p>
    <w:p>
      <w:pPr>
        <w:ind w:left="3180"/>
        <w:spacing w:after="0"/>
        <w:rPr>
          <w:sz w:val="20"/>
          <w:szCs w:val="20"/>
          <w:color w:val="auto"/>
        </w:rPr>
      </w:pPr>
      <w:r>
        <w:rPr>
          <w:rFonts w:ascii="Arial" w:cs="Arial" w:eastAsia="Arial" w:hAnsi="Arial"/>
          <w:sz w:val="22"/>
          <w:szCs w:val="22"/>
          <w:color w:val="auto"/>
        </w:rPr>
        <w:t>Aportación del Cabildo Insular de La</w:t>
      </w:r>
    </w:p>
    <w:p>
      <w:pPr>
        <w:spacing w:after="0" w:line="38" w:lineRule="exact"/>
        <w:rPr>
          <w:sz w:val="20"/>
          <w:szCs w:val="20"/>
          <w:color w:val="auto"/>
        </w:rPr>
      </w:pPr>
    </w:p>
    <w:p>
      <w:pPr>
        <w:ind w:left="3180"/>
        <w:spacing w:after="0"/>
        <w:rPr>
          <w:sz w:val="20"/>
          <w:szCs w:val="20"/>
          <w:color w:val="auto"/>
        </w:rPr>
      </w:pPr>
      <w:r>
        <w:rPr>
          <w:rFonts w:ascii="Arial" w:cs="Arial" w:eastAsia="Arial" w:hAnsi="Arial"/>
          <w:sz w:val="22"/>
          <w:szCs w:val="22"/>
          <w:color w:val="auto"/>
        </w:rPr>
        <w:t>Palma</w:t>
      </w:r>
    </w:p>
    <w:p>
      <w:pPr>
        <w:spacing w:after="0" w:line="253"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29</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35</w:t>
      </w:r>
    </w:p>
    <w:p>
      <w:pPr>
        <w:sectPr>
          <w:pgSz w:w="11900" w:h="16838" w:orient="portrait"/>
          <w:cols w:equalWidth="0" w:num="1">
            <w:col w:w="9340"/>
          </w:cols>
          <w:pgMar w:left="1440" w:top="1053" w:right="1126" w:bottom="0"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053" w:right="1126" w:bottom="0" w:gutter="0" w:footer="0" w:header="0"/>
          <w:type w:val="continuous"/>
        </w:sectPr>
      </w:pPr>
    </w:p>
    <w:bookmarkStart w:id="29" w:name="page30"/>
    <w:bookmarkEnd w:id="29"/>
    <w:p>
      <w:pPr>
        <w:spacing w:after="0" w:line="20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1035685</wp:posOffset>
                </wp:positionH>
                <wp:positionV relativeFrom="page">
                  <wp:posOffset>359410</wp:posOffset>
                </wp:positionV>
                <wp:extent cx="0" cy="3964305"/>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96430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81.55pt,28.3pt" to="81.55pt,340.45pt" o:allowincell="f" strokecolor="#000000" strokeweight="0.5pt">
                <w10:wrap anchorx="page" anchory="page"/>
              </v:line>
            </w:pict>
          </mc:Fallback>
        </mc:AlternateContent>
      </w:r>
    </w:p>
    <w:p>
      <w:pPr>
        <w:spacing w:after="0" w:line="291" w:lineRule="exact"/>
        <w:rPr>
          <w:sz w:val="20"/>
          <w:szCs w:val="20"/>
          <w:color w:val="auto"/>
        </w:rPr>
      </w:pPr>
    </w:p>
    <w:p>
      <w:pPr>
        <w:ind w:left="300"/>
        <w:spacing w:after="0"/>
        <w:rPr>
          <w:sz w:val="20"/>
          <w:szCs w:val="20"/>
          <w:color w:val="auto"/>
        </w:rPr>
      </w:pPr>
      <w:r>
        <w:rPr>
          <w:rFonts w:ascii="Arial" w:cs="Arial" w:eastAsia="Arial" w:hAnsi="Arial"/>
          <w:sz w:val="21"/>
          <w:szCs w:val="21"/>
          <w:color w:val="auto"/>
        </w:rPr>
        <w:t>INGRESOS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118110</wp:posOffset>
                </wp:positionH>
                <wp:positionV relativeFrom="paragraph">
                  <wp:posOffset>1882775</wp:posOffset>
                </wp:positionV>
                <wp:extent cx="1829435" cy="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82943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pt,148.25pt" to="153.35pt,148.25pt" o:allowincell="f" strokecolor="#000000" strokeweight="0.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ind w:left="300"/>
        <w:spacing w:after="0"/>
        <w:rPr>
          <w:sz w:val="20"/>
          <w:szCs w:val="20"/>
          <w:color w:val="auto"/>
        </w:rPr>
      </w:pPr>
      <w:r>
        <w:rPr>
          <w:rFonts w:ascii="Arial" w:cs="Arial" w:eastAsia="Arial" w:hAnsi="Arial"/>
          <w:sz w:val="22"/>
          <w:szCs w:val="22"/>
          <w:color w:val="auto"/>
        </w:rPr>
        <w:t>GASTOS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118110</wp:posOffset>
                </wp:positionH>
                <wp:positionV relativeFrom="paragraph">
                  <wp:posOffset>1136650</wp:posOffset>
                </wp:positionV>
                <wp:extent cx="1829435" cy="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82943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pt,89.5pt" to="153.35pt,89.5pt" o:allowincell="f" strokecolor="#000000" strokeweight="0.5pt"/>
            </w:pict>
          </mc:Fallback>
        </mc:AlternateContent>
      </w:r>
    </w:p>
    <w:p>
      <w:pPr>
        <w:spacing w:after="0" w:line="20" w:lineRule="exact"/>
        <w:rPr>
          <w:sz w:val="20"/>
          <w:szCs w:val="20"/>
          <w:color w:val="auto"/>
        </w:rPr>
      </w:pPr>
      <w:r>
        <w:rPr>
          <w:sz w:val="20"/>
          <w:szCs w:val="20"/>
          <w:color w:val="auto"/>
        </w:rPr>
        <w:br w:type="column"/>
      </w:r>
    </w:p>
    <w:p>
      <w:pPr>
        <w:ind w:left="120"/>
        <w:spacing w:after="0"/>
        <w:rPr>
          <w:sz w:val="20"/>
          <w:szCs w:val="20"/>
          <w:color w:val="auto"/>
        </w:rPr>
      </w:pPr>
      <w:r>
        <w:rPr>
          <w:rFonts w:ascii="Arial" w:cs="Arial" w:eastAsia="Arial" w:hAnsi="Arial"/>
          <w:sz w:val="22"/>
          <w:szCs w:val="22"/>
          <w:color w:val="auto"/>
        </w:rPr>
        <w:t>Aportaciones de las personas usuarias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wp:posOffset>
                </wp:positionH>
                <wp:positionV relativeFrom="paragraph">
                  <wp:posOffset>-157480</wp:posOffset>
                </wp:positionV>
                <wp:extent cx="0" cy="2017395"/>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01739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12.3999pt" to="0.6pt,146.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2628265</wp:posOffset>
                </wp:positionH>
                <wp:positionV relativeFrom="paragraph">
                  <wp:posOffset>-157480</wp:posOffset>
                </wp:positionV>
                <wp:extent cx="0" cy="2017395"/>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01739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6.95pt,-12.3999pt" to="206.95pt,146.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3667125</wp:posOffset>
                </wp:positionH>
                <wp:positionV relativeFrom="paragraph">
                  <wp:posOffset>-157480</wp:posOffset>
                </wp:positionV>
                <wp:extent cx="0" cy="2017395"/>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01739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8.75pt,-12.3999pt" to="288.75pt,146.4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-1824990</wp:posOffset>
                </wp:positionH>
                <wp:positionV relativeFrom="paragraph">
                  <wp:posOffset>-154305</wp:posOffset>
                </wp:positionV>
                <wp:extent cx="5495290" cy="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49529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6999pt,-12.1499pt" to="289pt,-12.1499pt" o:allowincell="f" strokecolor="#000000" strokeweight="0.5pt"/>
            </w:pict>
          </mc:Fallback>
        </mc:AlternateConten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Fondos propios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4445</wp:posOffset>
                </wp:positionH>
                <wp:positionV relativeFrom="paragraph">
                  <wp:posOffset>-154305</wp:posOffset>
                </wp:positionV>
                <wp:extent cx="3665855" cy="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658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2.1499pt" to="289pt,-12.1499pt" o:allowincell="f" strokecolor="#000000" strokeweight="0.5pt"/>
            </w:pict>
          </mc:Fallback>
        </mc:AlternateConten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Subvenciones públicas o privadas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4445</wp:posOffset>
                </wp:positionH>
                <wp:positionV relativeFrom="paragraph">
                  <wp:posOffset>-154305</wp:posOffset>
                </wp:positionV>
                <wp:extent cx="3665855" cy="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658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2.1499pt" to="289pt,-12.1499pt" o:allowincell="f" strokecolor="#000000" strokeweight="0.5pt"/>
            </w:pict>
          </mc:Fallback>
        </mc:AlternateContent>
      </w:r>
    </w:p>
    <w:p>
      <w:pPr>
        <w:spacing w:after="0" w:line="1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(añadir una fila por cada tipo de</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subvención)</w:t>
      </w:r>
    </w:p>
    <w:p>
      <w:pPr>
        <w:spacing w:after="0" w:line="24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Ingresos específicos obtenidos del</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4445</wp:posOffset>
                </wp:positionH>
                <wp:positionV relativeFrom="paragraph">
                  <wp:posOffset>-154305</wp:posOffset>
                </wp:positionV>
                <wp:extent cx="3665855" cy="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658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2.1499pt" to="289pt,-12.1499pt" o:allowincell="f" strokecolor="#000000" strokeweight="0.5pt"/>
            </w:pict>
          </mc:Fallback>
        </mc:AlternateContent>
      </w:r>
    </w:p>
    <w:p>
      <w:pPr>
        <w:spacing w:after="0" w:line="1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desarrollo de la actividad</w:t>
      </w:r>
    </w:p>
    <w:p>
      <w:pPr>
        <w:spacing w:after="0" w:line="3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subvencionada</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3673475</wp:posOffset>
                </wp:positionH>
                <wp:positionV relativeFrom="paragraph">
                  <wp:posOffset>160020</wp:posOffset>
                </wp:positionV>
                <wp:extent cx="0" cy="349885"/>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498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9.25pt,12.6pt" to="289.25pt,4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163195</wp:posOffset>
                </wp:positionV>
                <wp:extent cx="3677920" cy="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7792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999pt,12.85pt" to="289.5pt,12.85pt" o:allowincell="f" strokecolor="#000000" strokeweight="0.5pt"/>
            </w:pict>
          </mc:Fallback>
        </mc:AlternateContent>
      </w:r>
    </w:p>
    <w:p>
      <w:pPr>
        <w:spacing w:after="0" w:line="186" w:lineRule="exact"/>
        <w:rPr>
          <w:sz w:val="20"/>
          <w:szCs w:val="20"/>
          <w:color w:val="auto"/>
        </w:rPr>
      </w:pPr>
    </w:p>
    <w:p>
      <w:pPr>
        <w:spacing w:after="0"/>
        <w:rPr>
          <w:sz w:val="20"/>
          <w:szCs w:val="20"/>
          <w:color w:val="auto"/>
        </w:rPr>
      </w:pPr>
      <w:r>
        <w:rPr>
          <w:sz w:val="1"/>
          <w:szCs w:val="1"/>
          <w:color w:val="auto"/>
        </w:rPr>
        <w:drawing>
          <wp:inline distT="0" distB="0" distL="0" distR="0">
            <wp:extent cx="6350" cy="34988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0">
                      <a:extLst>
                        <a:ext uri="{28A0092B-C50C-407E-A947-70E740481C1C}"/>
                      </a:extLst>
                    </a:blip>
                    <a:srcRect/>
                    <a:stretch>
                      <a:fillRect/>
                    </a:stretch>
                  </pic:blipFill>
                  <pic:spPr bwMode="auto">
                    <a:xfrm>
                      <a:off x="0" y="0"/>
                      <a:ext cx="6350" cy="349885"/>
                    </a:xfrm>
                    <a:prstGeom prst="rect">
                      <a:avLst/>
                    </a:prstGeom>
                    <a:noFill/>
                    <a:ln>
                      <a:noFill/>
                    </a:ln>
                  </pic:spPr>
                </pic:pic>
              </a:graphicData>
            </a:graphic>
          </wp:inline>
        </w:drawing>
        <w:drawing>
          <wp:inline distT="0" distB="0" distL="0" distR="0">
            <wp:extent cx="6350" cy="32448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1">
                      <a:extLst>
                        <a:ext uri="{28A0092B-C50C-407E-A947-70E740481C1C}"/>
                      </a:extLst>
                    </a:blip>
                    <a:srcRect/>
                    <a:stretch>
                      <a:fillRect/>
                    </a:stretch>
                  </pic:blipFill>
                  <pic:spPr bwMode="auto">
                    <a:xfrm>
                      <a:off x="0" y="0"/>
                      <a:ext cx="6350" cy="324485"/>
                    </a:xfrm>
                    <a:prstGeom prst="rect">
                      <a:avLst/>
                    </a:prstGeom>
                    <a:noFill/>
                    <a:ln>
                      <a:noFill/>
                    </a:ln>
                  </pic:spPr>
                </pic:pic>
              </a:graphicData>
            </a:graphic>
          </wp:inline>
        </w:drawing>
      </w:r>
      <w:r>
        <w:rPr>
          <w:rFonts w:ascii="Arial" w:cs="Arial" w:eastAsia="Arial" w:hAnsi="Arial"/>
          <w:sz w:val="22"/>
          <w:szCs w:val="22"/>
          <w:color w:val="auto"/>
        </w:rPr>
        <w:t xml:space="preserve"> TOTAL DE INGRESOS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wp:posOffset>
                </wp:positionH>
                <wp:positionV relativeFrom="paragraph">
                  <wp:posOffset>-6350</wp:posOffset>
                </wp:positionV>
                <wp:extent cx="0" cy="1278255"/>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27825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0.4999pt" to="0.6pt,10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2621915</wp:posOffset>
                </wp:positionH>
                <wp:positionV relativeFrom="paragraph">
                  <wp:posOffset>-336550</wp:posOffset>
                </wp:positionV>
                <wp:extent cx="0" cy="32385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6.45pt,-26.4999pt" to="206.45pt,-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2628265</wp:posOffset>
                </wp:positionH>
                <wp:positionV relativeFrom="paragraph">
                  <wp:posOffset>-6350</wp:posOffset>
                </wp:positionV>
                <wp:extent cx="0" cy="1278255"/>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27825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6.95pt,-0.4999pt" to="206.95pt,10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3667125</wp:posOffset>
                </wp:positionH>
                <wp:positionV relativeFrom="paragraph">
                  <wp:posOffset>-6350</wp:posOffset>
                </wp:positionV>
                <wp:extent cx="0" cy="1278255"/>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27825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8.75pt,-0.4999pt" to="288.75pt,10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-333375</wp:posOffset>
                </wp:positionV>
                <wp:extent cx="2614295" cy="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261429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26.2499pt" to="206.7pt,-26.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-15875</wp:posOffset>
                </wp:positionV>
                <wp:extent cx="2614295" cy="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261429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1.2499pt" to="206.7pt,-1.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-3175</wp:posOffset>
                </wp:positionV>
                <wp:extent cx="3677920" cy="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7792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999pt,-0.2499pt" to="289.5pt,-0.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2634615</wp:posOffset>
                </wp:positionH>
                <wp:positionV relativeFrom="paragraph">
                  <wp:posOffset>-336550</wp:posOffset>
                </wp:positionV>
                <wp:extent cx="0" cy="32385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45pt,-26.4999pt" to="207.45pt,-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3660775</wp:posOffset>
                </wp:positionH>
                <wp:positionV relativeFrom="paragraph">
                  <wp:posOffset>-336550</wp:posOffset>
                </wp:positionV>
                <wp:extent cx="0" cy="32385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8.25pt,-26.4999pt" to="288.25pt,-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2631440</wp:posOffset>
                </wp:positionH>
                <wp:positionV relativeFrom="paragraph">
                  <wp:posOffset>-333375</wp:posOffset>
                </wp:positionV>
                <wp:extent cx="1032510" cy="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03251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2pt,-26.2499pt" to="288.5pt,-26.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2631440</wp:posOffset>
                </wp:positionH>
                <wp:positionV relativeFrom="paragraph">
                  <wp:posOffset>-15875</wp:posOffset>
                </wp:positionV>
                <wp:extent cx="1032510" cy="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03251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2pt,-1.2499pt" to="288.5pt,-1.2499pt" o:allowincell="f" strokecolor="#000000" strokeweight="0.5pt"/>
            </w:pict>
          </mc:Fallback>
        </mc:AlternateContent>
      </w:r>
    </w:p>
    <w:p>
      <w:pPr>
        <w:ind w:left="120"/>
        <w:spacing w:after="0"/>
        <w:rPr>
          <w:sz w:val="20"/>
          <w:szCs w:val="20"/>
          <w:color w:val="auto"/>
        </w:rPr>
      </w:pPr>
      <w:r>
        <w:rPr>
          <w:rFonts w:ascii="Arial" w:cs="Arial" w:eastAsia="Arial" w:hAnsi="Arial"/>
          <w:sz w:val="22"/>
          <w:szCs w:val="22"/>
          <w:color w:val="auto"/>
        </w:rPr>
        <w:t>Gastos de Personal</w:t>
      </w:r>
    </w:p>
    <w:p>
      <w:pPr>
        <w:spacing w:after="0" w:line="233" w:lineRule="exact"/>
        <w:rPr>
          <w:sz w:val="20"/>
          <w:szCs w:val="20"/>
          <w:color w:val="auto"/>
        </w:rPr>
      </w:pPr>
    </w:p>
    <w:p>
      <w:pPr>
        <w:ind w:left="120"/>
        <w:spacing w:after="0"/>
        <w:rPr>
          <w:sz w:val="20"/>
          <w:szCs w:val="20"/>
          <w:color w:val="auto"/>
        </w:rPr>
      </w:pPr>
      <w:r>
        <w:rPr>
          <w:rFonts w:ascii="Arial" w:cs="Arial" w:eastAsia="Arial" w:hAnsi="Arial"/>
          <w:sz w:val="22"/>
          <w:szCs w:val="22"/>
          <w:color w:val="auto"/>
        </w:rPr>
        <w:t>Gastos de Actividades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4445</wp:posOffset>
                </wp:positionH>
                <wp:positionV relativeFrom="paragraph">
                  <wp:posOffset>-154305</wp:posOffset>
                </wp:positionV>
                <wp:extent cx="3665855" cy="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658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2.1499pt" to="289pt,-12.1499pt" o:allowincell="f" strokecolor="#000000" strokeweight="0.5pt"/>
            </w:pict>
          </mc:Fallback>
        </mc:AlternateConten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Gastos de Mantenimiento</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4445</wp:posOffset>
                </wp:positionH>
                <wp:positionV relativeFrom="paragraph">
                  <wp:posOffset>-154305</wp:posOffset>
                </wp:positionV>
                <wp:extent cx="3665855" cy="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658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2.1499pt" to="289pt,-12.1499pt" o:allowincell="f" strokecolor="#000000" strokeweight="0.5pt"/>
            </w:pict>
          </mc:Fallback>
        </mc:AlternateContent>
      </w:r>
    </w:p>
    <w:p>
      <w:pPr>
        <w:spacing w:after="0" w:line="228" w:lineRule="exact"/>
        <w:rPr>
          <w:sz w:val="20"/>
          <w:szCs w:val="20"/>
          <w:color w:val="auto"/>
        </w:rPr>
      </w:pPr>
    </w:p>
    <w:p>
      <w:pPr>
        <w:ind w:left="120"/>
        <w:spacing w:after="0"/>
        <w:rPr>
          <w:sz w:val="20"/>
          <w:szCs w:val="20"/>
          <w:color w:val="auto"/>
        </w:rPr>
      </w:pPr>
      <w:r>
        <w:rPr>
          <w:rFonts w:ascii="Arial" w:cs="Arial" w:eastAsia="Arial" w:hAnsi="Arial"/>
          <w:sz w:val="22"/>
          <w:szCs w:val="22"/>
          <w:color w:val="auto"/>
        </w:rPr>
        <w:t>Otros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3673475</wp:posOffset>
                </wp:positionH>
                <wp:positionV relativeFrom="paragraph">
                  <wp:posOffset>160020</wp:posOffset>
                </wp:positionV>
                <wp:extent cx="0" cy="349885"/>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49885"/>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9.25pt,12.6pt" to="289.25pt,40.15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-154305</wp:posOffset>
                </wp:positionV>
                <wp:extent cx="3665855" cy="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6585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2.1499pt" to="289pt,-12.1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163195</wp:posOffset>
                </wp:positionV>
                <wp:extent cx="3677920" cy="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7792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999pt,12.85pt" to="289.5pt,12.85pt" o:allowincell="f" strokecolor="#000000" strokeweight="0.5pt"/>
            </w:pict>
          </mc:Fallback>
        </mc:AlternateContent>
      </w:r>
    </w:p>
    <w:p>
      <w:pPr>
        <w:spacing w:after="0" w:line="186" w:lineRule="exact"/>
        <w:rPr>
          <w:sz w:val="20"/>
          <w:szCs w:val="20"/>
          <w:color w:val="auto"/>
        </w:rPr>
      </w:pPr>
    </w:p>
    <w:p>
      <w:pPr>
        <w:spacing w:after="0"/>
        <w:rPr>
          <w:sz w:val="20"/>
          <w:szCs w:val="20"/>
          <w:color w:val="auto"/>
        </w:rPr>
      </w:pPr>
      <w:r>
        <w:rPr>
          <w:sz w:val="1"/>
          <w:szCs w:val="1"/>
          <w:color w:val="auto"/>
        </w:rPr>
        <w:drawing>
          <wp:inline distT="0" distB="0" distL="0" distR="0">
            <wp:extent cx="6350" cy="34988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2">
                      <a:extLst>
                        <a:ext uri="{28A0092B-C50C-407E-A947-70E740481C1C}"/>
                      </a:extLst>
                    </a:blip>
                    <a:srcRect/>
                    <a:stretch>
                      <a:fillRect/>
                    </a:stretch>
                  </pic:blipFill>
                  <pic:spPr bwMode="auto">
                    <a:xfrm>
                      <a:off x="0" y="0"/>
                      <a:ext cx="6350" cy="349885"/>
                    </a:xfrm>
                    <a:prstGeom prst="rect">
                      <a:avLst/>
                    </a:prstGeom>
                    <a:noFill/>
                    <a:ln>
                      <a:noFill/>
                    </a:ln>
                  </pic:spPr>
                </pic:pic>
              </a:graphicData>
            </a:graphic>
          </wp:inline>
        </w:drawing>
        <w:drawing>
          <wp:inline distT="0" distB="0" distL="0" distR="0">
            <wp:extent cx="6350" cy="32448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53">
                      <a:extLst>
                        <a:ext uri="{28A0092B-C50C-407E-A947-70E740481C1C}"/>
                      </a:extLst>
                    </a:blip>
                    <a:srcRect/>
                    <a:stretch>
                      <a:fillRect/>
                    </a:stretch>
                  </pic:blipFill>
                  <pic:spPr bwMode="auto">
                    <a:xfrm>
                      <a:off x="0" y="0"/>
                      <a:ext cx="6350" cy="324485"/>
                    </a:xfrm>
                    <a:prstGeom prst="rect">
                      <a:avLst/>
                    </a:prstGeom>
                    <a:noFill/>
                    <a:ln>
                      <a:noFill/>
                    </a:ln>
                  </pic:spPr>
                </pic:pic>
              </a:graphicData>
            </a:graphic>
          </wp:inline>
        </w:drawing>
      </w:r>
      <w:r>
        <w:rPr>
          <w:rFonts w:ascii="Arial" w:cs="Arial" w:eastAsia="Arial" w:hAnsi="Arial"/>
          <w:sz w:val="22"/>
          <w:szCs w:val="22"/>
          <w:color w:val="auto"/>
        </w:rPr>
        <w:t xml:space="preserve"> TOTAL DE GASTOS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2621915</wp:posOffset>
                </wp:positionH>
                <wp:positionV relativeFrom="paragraph">
                  <wp:posOffset>-336550</wp:posOffset>
                </wp:positionV>
                <wp:extent cx="0" cy="32385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6.45pt,-26.4999pt" to="206.45pt,-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-333375</wp:posOffset>
                </wp:positionV>
                <wp:extent cx="2614295" cy="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261429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26.2499pt" to="206.7pt,-26.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-15875</wp:posOffset>
                </wp:positionV>
                <wp:extent cx="2614295" cy="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2614295"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1.2499pt" to="206.7pt,-1.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-3175</wp:posOffset>
                </wp:positionV>
                <wp:extent cx="3677920" cy="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367792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999pt,-0.2499pt" to="289.5pt,-0.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2634615</wp:posOffset>
                </wp:positionH>
                <wp:positionV relativeFrom="paragraph">
                  <wp:posOffset>-336550</wp:posOffset>
                </wp:positionV>
                <wp:extent cx="0" cy="32385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45pt,-26.4999pt" to="207.45pt,-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3660775</wp:posOffset>
                </wp:positionH>
                <wp:positionV relativeFrom="paragraph">
                  <wp:posOffset>-336550</wp:posOffset>
                </wp:positionV>
                <wp:extent cx="0" cy="32385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323850"/>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8.25pt,-26.4999pt" to="288.25pt,-1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2631440</wp:posOffset>
                </wp:positionH>
                <wp:positionV relativeFrom="paragraph">
                  <wp:posOffset>-333375</wp:posOffset>
                </wp:positionV>
                <wp:extent cx="1032510" cy="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03251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2pt,-26.2499pt" to="288.5pt,-26.2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2631440</wp:posOffset>
                </wp:positionH>
                <wp:positionV relativeFrom="paragraph">
                  <wp:posOffset>-15875</wp:posOffset>
                </wp:positionV>
                <wp:extent cx="1032510" cy="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03251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7.2pt,-1.2499pt" to="288.5pt,-1.2499pt" o:allowincell="f" strokecolor="#000000" strokeweight="0.5pt"/>
            </w:pict>
          </mc:Fallback>
        </mc:AlternateContent>
      </w:r>
    </w:p>
    <w:p>
      <w:pPr>
        <w:spacing w:after="0" w:line="200" w:lineRule="exact"/>
        <w:rPr>
          <w:sz w:val="20"/>
          <w:szCs w:val="20"/>
          <w:color w:val="auto"/>
        </w:rPr>
      </w:pPr>
    </w:p>
    <w:p>
      <w:pPr>
        <w:sectPr>
          <w:pgSz w:w="11900" w:h="16838" w:orient="portrait"/>
          <w:cols w:equalWidth="0" w:num="2">
            <w:col w:w="2340" w:space="720"/>
            <w:col w:w="6280"/>
          </w:cols>
          <w:pgMar w:left="1440" w:top="56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8" w:lineRule="exact"/>
        <w:rPr>
          <w:sz w:val="20"/>
          <w:szCs w:val="20"/>
          <w:color w:val="auto"/>
        </w:rPr>
      </w:pPr>
    </w:p>
    <w:tbl>
      <w:tblPr>
        <w:tblLayout w:type="fixed"/>
        <w:tblInd w:w="1640" w:type="dxa"/>
        <w:tblCellMar>
          <w:top w:w="0" w:type="dxa"/>
          <w:left w:w="0" w:type="dxa"/>
          <w:bottom w:w="0" w:type="dxa"/>
          <w:right w:w="0" w:type="dxa"/>
        </w:tblCellMar>
      </w:tblPr>
      <w:tr>
        <w:trPr>
          <w:trHeight w:val="291"/>
        </w:trPr>
        <w:tc>
          <w:tcPr>
            <w:tcW w:w="4640" w:type="dxa"/>
            <w:vAlign w:val="bottom"/>
          </w:tcPr>
          <w:p>
            <w:pPr>
              <w:spacing w:after="0"/>
              <w:rPr>
                <w:sz w:val="20"/>
                <w:szCs w:val="20"/>
                <w:color w:val="auto"/>
              </w:rPr>
            </w:pPr>
            <w:r>
              <w:rPr>
                <w:rFonts w:ascii="Arial" w:cs="Arial" w:eastAsia="Arial" w:hAnsi="Arial"/>
                <w:sz w:val="22"/>
                <w:szCs w:val="22"/>
                <w:color w:val="auto"/>
              </w:rPr>
              <w:t>En…………………………………….., a   de</w:t>
            </w:r>
          </w:p>
        </w:tc>
        <w:tc>
          <w:tcPr>
            <w:tcW w:w="1100" w:type="dxa"/>
            <w:vAlign w:val="bottom"/>
          </w:tcPr>
          <w:p>
            <w:pPr>
              <w:ind w:left="360"/>
              <w:spacing w:after="0"/>
              <w:rPr>
                <w:sz w:val="20"/>
                <w:szCs w:val="20"/>
                <w:color w:val="auto"/>
              </w:rPr>
            </w:pPr>
            <w:r>
              <w:rPr>
                <w:rFonts w:ascii="Arial" w:cs="Arial" w:eastAsia="Arial" w:hAnsi="Arial"/>
                <w:sz w:val="22"/>
                <w:szCs w:val="22"/>
                <w:color w:val="auto"/>
              </w:rPr>
              <w:t>de 20 .</w:t>
            </w:r>
          </w:p>
        </w:tc>
      </w:tr>
    </w:tbl>
    <w:p>
      <w:pPr>
        <w:spacing w:after="0" w:line="200" w:lineRule="exact"/>
        <w:rPr>
          <w:sz w:val="20"/>
          <w:szCs w:val="20"/>
          <w:color w:val="auto"/>
        </w:rPr>
      </w:pPr>
    </w:p>
    <w:p>
      <w:pPr>
        <w:ind w:left="2180"/>
        <w:spacing w:after="0"/>
        <w:rPr>
          <w:sz w:val="20"/>
          <w:szCs w:val="20"/>
          <w:color w:val="auto"/>
        </w:rPr>
      </w:pPr>
      <w:r>
        <w:rPr>
          <w:rFonts w:ascii="Arial" w:cs="Arial" w:eastAsia="Arial" w:hAnsi="Arial"/>
          <w:sz w:val="22"/>
          <w:szCs w:val="22"/>
          <w:color w:val="auto"/>
        </w:rPr>
        <w:t>(Firma representante legal de la entidad y sello)</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9"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24"/>
          <w:szCs w:val="24"/>
          <w:color w:val="auto"/>
        </w:rPr>
        <w:t xml:space="preserve">Página </w:t>
      </w:r>
      <w:r>
        <w:rPr>
          <w:rFonts w:ascii="Times New Roman" w:cs="Times New Roman" w:eastAsia="Times New Roman" w:hAnsi="Times New Roman"/>
          <w:sz w:val="24"/>
          <w:szCs w:val="24"/>
          <w:b w:val="1"/>
          <w:bCs w:val="1"/>
          <w:color w:val="auto"/>
        </w:rPr>
        <w:t>30</w:t>
      </w:r>
      <w:r>
        <w:rPr>
          <w:rFonts w:ascii="Times New Roman" w:cs="Times New Roman" w:eastAsia="Times New Roman" w:hAnsi="Times New Roman"/>
          <w:sz w:val="24"/>
          <w:szCs w:val="24"/>
          <w:color w:val="auto"/>
        </w:rPr>
        <w:t xml:space="preserve"> de </w:t>
      </w:r>
      <w:r>
        <w:rPr>
          <w:rFonts w:ascii="Times New Roman" w:cs="Times New Roman" w:eastAsia="Times New Roman" w:hAnsi="Times New Roman"/>
          <w:sz w:val="24"/>
          <w:szCs w:val="24"/>
          <w:b w:val="1"/>
          <w:bCs w:val="1"/>
          <w:color w:val="auto"/>
        </w:rPr>
        <w:t>35</w:t>
      </w:r>
    </w:p>
    <w:p>
      <w:pPr>
        <w:sectPr>
          <w:pgSz w:w="11900" w:h="16838" w:orient="portrait"/>
          <w:cols w:equalWidth="0" w:num="1">
            <w:col w:w="9340"/>
          </w:cols>
          <w:pgMar w:left="1440" w:top="562" w:right="1126" w:bottom="0"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54">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562" w:right="1126" w:bottom="0" w:gutter="0" w:footer="0" w:header="0"/>
          <w:type w:val="continuous"/>
        </w:sectPr>
      </w:pPr>
    </w:p>
    <w:bookmarkStart w:id="30" w:name="page31"/>
    <w:bookmarkEnd w:id="30"/>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1604645</wp:posOffset>
            </wp:positionH>
            <wp:positionV relativeFrom="page">
              <wp:posOffset>371475</wp:posOffset>
            </wp:positionV>
            <wp:extent cx="4351655" cy="701802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55">
                      <a:clrChange>
                        <a:clrFrom>
                          <a:srgbClr val="FFFFFF"/>
                        </a:clrFrom>
                        <a:clrTo>
                          <a:srgbClr val="FFFFFF">
                            <a:alpha val="0"/>
                          </a:srgbClr>
                        </a:clrTo>
                      </a:clrChange>
                      <a:extLst>
                        <a:ext uri="{28A0092B-C50C-407E-A947-70E740481C1C}"/>
                      </a:extLst>
                    </a:blip>
                    <a:srcRect/>
                    <a:stretch>
                      <a:fillRect/>
                    </a:stretch>
                  </pic:blipFill>
                  <pic:spPr bwMode="auto">
                    <a:xfrm>
                      <a:off x="0" y="0"/>
                      <a:ext cx="4351655" cy="701802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0"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31</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340"/>
          </w:cols>
          <w:pgMar w:left="144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56">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440" w:right="1126" w:bottom="0" w:gutter="0" w:footer="0" w:header="0"/>
          <w:type w:val="continuous"/>
        </w:sectPr>
      </w:pPr>
    </w:p>
    <w:bookmarkStart w:id="31" w:name="page32"/>
    <w:bookmarkEnd w:id="31"/>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1590040</wp:posOffset>
            </wp:positionH>
            <wp:positionV relativeFrom="page">
              <wp:posOffset>365760</wp:posOffset>
            </wp:positionV>
            <wp:extent cx="4380865" cy="749300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57">
                      <a:clrChange>
                        <a:clrFrom>
                          <a:srgbClr val="FFFFFF"/>
                        </a:clrFrom>
                        <a:clrTo>
                          <a:srgbClr val="FFFFFF">
                            <a:alpha val="0"/>
                          </a:srgbClr>
                        </a:clrTo>
                      </a:clrChange>
                      <a:extLst>
                        <a:ext uri="{28A0092B-C50C-407E-A947-70E740481C1C}"/>
                      </a:extLst>
                    </a:blip>
                    <a:srcRect/>
                    <a:stretch>
                      <a:fillRect/>
                    </a:stretch>
                  </pic:blipFill>
                  <pic:spPr bwMode="auto">
                    <a:xfrm>
                      <a:off x="0" y="0"/>
                      <a:ext cx="4380865" cy="74930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0"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32</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340"/>
          </w:cols>
          <w:pgMar w:left="144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58">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440" w:right="1126" w:bottom="0" w:gutter="0" w:footer="0" w:header="0"/>
          <w:type w:val="continuous"/>
        </w:sectPr>
      </w:pPr>
    </w:p>
    <w:bookmarkStart w:id="32" w:name="page33"/>
    <w:bookmarkEnd w:id="32"/>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1361440</wp:posOffset>
            </wp:positionH>
            <wp:positionV relativeFrom="page">
              <wp:posOffset>366395</wp:posOffset>
            </wp:positionV>
            <wp:extent cx="4838065" cy="760222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59">
                      <a:clrChange>
                        <a:clrFrom>
                          <a:srgbClr val="FFFFFF"/>
                        </a:clrFrom>
                        <a:clrTo>
                          <a:srgbClr val="FFFFFF">
                            <a:alpha val="0"/>
                          </a:srgbClr>
                        </a:clrTo>
                      </a:clrChange>
                      <a:extLst>
                        <a:ext uri="{28A0092B-C50C-407E-A947-70E740481C1C}"/>
                      </a:extLst>
                    </a:blip>
                    <a:srcRect/>
                    <a:stretch>
                      <a:fillRect/>
                    </a:stretch>
                  </pic:blipFill>
                  <pic:spPr bwMode="auto">
                    <a:xfrm>
                      <a:off x="0" y="0"/>
                      <a:ext cx="4838065" cy="760222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0" w:lineRule="exact"/>
        <w:rPr>
          <w:sz w:val="20"/>
          <w:szCs w:val="20"/>
          <w:color w:val="auto"/>
        </w:rPr>
      </w:pPr>
    </w:p>
    <w:p>
      <w:pPr>
        <w:ind w:left="78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33</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340"/>
          </w:cols>
          <w:pgMar w:left="1440" w:top="1440"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3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-467360</wp:posOffset>
            </wp:positionH>
            <wp:positionV relativeFrom="paragraph">
              <wp:posOffset>-374015</wp:posOffset>
            </wp:positionV>
            <wp:extent cx="6577965" cy="36322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0">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340"/>
          </w:cols>
          <w:pgMar w:left="1440" w:top="1440" w:right="1126" w:bottom="0" w:gutter="0" w:footer="0" w:header="0"/>
          <w:type w:val="continuous"/>
        </w:sectPr>
      </w:pPr>
    </w:p>
    <w:bookmarkStart w:id="33" w:name="page34"/>
    <w:bookmarkEnd w:id="33"/>
    <w:p>
      <w:pPr>
        <w:jc w:val="center"/>
        <w:spacing w:after="0"/>
        <w:rPr>
          <w:sz w:val="20"/>
          <w:szCs w:val="20"/>
          <w:color w:val="auto"/>
        </w:rPr>
      </w:pPr>
      <w:r>
        <w:rPr>
          <w:rFonts w:ascii="Arial" w:cs="Arial" w:eastAsia="Arial" w:hAnsi="Arial"/>
          <w:sz w:val="22"/>
          <w:szCs w:val="22"/>
          <w:b w:val="1"/>
          <w:bCs w:val="1"/>
          <w:color w:val="auto"/>
        </w:rPr>
        <w:t>ANEXO VI</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spacing w:after="0"/>
        <w:rPr>
          <w:sz w:val="20"/>
          <w:szCs w:val="20"/>
          <w:color w:val="auto"/>
        </w:rPr>
      </w:pPr>
      <w:r>
        <w:rPr>
          <w:rFonts w:ascii="Arial" w:cs="Arial" w:eastAsia="Arial" w:hAnsi="Arial"/>
          <w:sz w:val="22"/>
          <w:szCs w:val="22"/>
          <w:color w:val="auto"/>
        </w:rPr>
        <w:t>ESPACIO PARA EL LOGO DE LA ENTIDAD</w:t>
      </w:r>
    </w:p>
    <w:p>
      <w:pPr>
        <w:spacing w:after="0" w:line="200" w:lineRule="exact"/>
        <w:rPr>
          <w:sz w:val="20"/>
          <w:szCs w:val="20"/>
          <w:color w:val="auto"/>
        </w:rPr>
      </w:pPr>
    </w:p>
    <w:p>
      <w:pPr>
        <w:spacing w:after="0" w:line="200" w:lineRule="exact"/>
        <w:rPr>
          <w:sz w:val="20"/>
          <w:szCs w:val="20"/>
          <w:color w:val="auto"/>
        </w:rPr>
      </w:pPr>
    </w:p>
    <w:p>
      <w:pPr>
        <w:spacing w:after="0" w:line="328" w:lineRule="exact"/>
        <w:rPr>
          <w:sz w:val="20"/>
          <w:szCs w:val="20"/>
          <w:color w:val="auto"/>
        </w:rPr>
      </w:pPr>
    </w:p>
    <w:p>
      <w:pPr>
        <w:spacing w:after="0"/>
        <w:rPr>
          <w:sz w:val="20"/>
          <w:szCs w:val="20"/>
          <w:color w:val="auto"/>
        </w:rPr>
      </w:pPr>
      <w:r>
        <w:rPr>
          <w:rFonts w:ascii="Arial" w:cs="Arial" w:eastAsia="Arial" w:hAnsi="Arial"/>
          <w:sz w:val="24"/>
          <w:szCs w:val="24"/>
          <w:color w:val="auto"/>
        </w:rPr>
        <w:t>D./Dña._______________________________________________________, con N.I.F. nº</w:t>
      </w:r>
    </w:p>
    <w:p>
      <w:pPr>
        <w:spacing w:after="0" w:line="24" w:lineRule="exact"/>
        <w:rPr>
          <w:sz w:val="20"/>
          <w:szCs w:val="20"/>
          <w:color w:val="auto"/>
        </w:rPr>
      </w:pPr>
    </w:p>
    <w:p>
      <w:pPr>
        <w:spacing w:after="0"/>
        <w:rPr>
          <w:sz w:val="20"/>
          <w:szCs w:val="20"/>
          <w:color w:val="auto"/>
        </w:rPr>
      </w:pPr>
      <w:r>
        <w:rPr>
          <w:rFonts w:ascii="Arial" w:cs="Arial" w:eastAsia="Arial" w:hAnsi="Arial"/>
          <w:sz w:val="24"/>
          <w:szCs w:val="24"/>
          <w:color w:val="auto"/>
        </w:rPr>
        <w:t>___________, en calidad de Secretaria/o de la entidad __________________________,</w:t>
      </w:r>
    </w:p>
    <w:p>
      <w:pPr>
        <w:spacing w:after="0"/>
        <w:rPr>
          <w:sz w:val="20"/>
          <w:szCs w:val="20"/>
          <w:color w:val="auto"/>
        </w:rPr>
      </w:pPr>
      <w:r>
        <w:rPr>
          <w:rFonts w:ascii="Arial" w:cs="Arial" w:eastAsia="Arial" w:hAnsi="Arial"/>
          <w:sz w:val="24"/>
          <w:szCs w:val="24"/>
          <w:color w:val="auto"/>
        </w:rPr>
        <w:t>con N.I.F. nº _______________</w:t>
      </w:r>
    </w:p>
    <w:p>
      <w:pPr>
        <w:spacing w:after="0" w:line="230" w:lineRule="exact"/>
        <w:rPr>
          <w:sz w:val="20"/>
          <w:szCs w:val="20"/>
          <w:color w:val="auto"/>
        </w:rPr>
      </w:pPr>
    </w:p>
    <w:p>
      <w:pPr>
        <w:spacing w:after="0" w:line="250" w:lineRule="auto"/>
        <w:rPr>
          <w:sz w:val="20"/>
          <w:szCs w:val="20"/>
          <w:color w:val="auto"/>
        </w:rPr>
      </w:pPr>
      <w:r>
        <w:rPr>
          <w:rFonts w:ascii="Arial" w:cs="Arial" w:eastAsia="Arial" w:hAnsi="Arial"/>
          <w:sz w:val="22"/>
          <w:szCs w:val="22"/>
          <w:color w:val="auto"/>
        </w:rPr>
        <w:t>CERTIFICO: Que las aportaciones realizadas por los usuarios sujetos al servicio de promoción de autonomía personal ____________________en el mes de _____ del ejercicio 2019 asciende a la</w:t>
      </w:r>
    </w:p>
    <w:p>
      <w:pPr>
        <w:spacing w:after="0" w:line="1" w:lineRule="exact"/>
        <w:rPr>
          <w:sz w:val="20"/>
          <w:szCs w:val="20"/>
          <w:color w:val="auto"/>
        </w:rPr>
      </w:pPr>
    </w:p>
    <w:p>
      <w:pPr>
        <w:spacing w:after="0"/>
        <w:rPr>
          <w:sz w:val="20"/>
          <w:szCs w:val="20"/>
          <w:color w:val="auto"/>
        </w:rPr>
      </w:pPr>
      <w:r>
        <w:rPr>
          <w:rFonts w:ascii="Arial" w:cs="Arial" w:eastAsia="Arial" w:hAnsi="Arial"/>
          <w:sz w:val="22"/>
          <w:szCs w:val="22"/>
          <w:color w:val="auto"/>
        </w:rPr>
        <w:t>cantidad de __________ euros, habiéndose destinado dicha aportación a la ejecución del objeto</w:t>
      </w:r>
    </w:p>
    <w:p>
      <w:pPr>
        <w:jc w:val="both"/>
        <w:spacing w:after="0" w:line="247" w:lineRule="auto"/>
        <w:rPr>
          <w:sz w:val="20"/>
          <w:szCs w:val="20"/>
          <w:color w:val="auto"/>
        </w:rPr>
      </w:pPr>
      <w:r>
        <w:rPr>
          <w:rFonts w:ascii="Arial" w:cs="Arial" w:eastAsia="Arial" w:hAnsi="Arial"/>
          <w:sz w:val="22"/>
          <w:szCs w:val="22"/>
          <w:color w:val="auto"/>
        </w:rPr>
        <w:t>de la subvención (atender a los gastos de la gestión de las plazas del servicio de promoción de autonomía personal ______). (A certificar solo en el supuesto de que existan aportaciones de los usuarios).</w:t>
      </w:r>
    </w:p>
    <w:p>
      <w:pPr>
        <w:spacing w:after="0" w:line="209" w:lineRule="exact"/>
        <w:rPr>
          <w:sz w:val="20"/>
          <w:szCs w:val="20"/>
          <w:color w:val="auto"/>
        </w:rPr>
      </w:pPr>
    </w:p>
    <w:p>
      <w:pPr>
        <w:spacing w:after="0"/>
        <w:rPr>
          <w:sz w:val="20"/>
          <w:szCs w:val="20"/>
          <w:color w:val="auto"/>
        </w:rPr>
      </w:pPr>
      <w:r>
        <w:rPr>
          <w:rFonts w:ascii="Arial" w:cs="Arial" w:eastAsia="Arial" w:hAnsi="Arial"/>
          <w:sz w:val="22"/>
          <w:szCs w:val="22"/>
          <w:color w:val="auto"/>
        </w:rPr>
        <w:t>Estas aportaciones se desglosan en la siguiente tabla:</w:t>
      </w:r>
    </w:p>
    <w:p>
      <w:pPr>
        <w:spacing w:after="0" w:line="248" w:lineRule="exact"/>
        <w:rPr>
          <w:sz w:val="20"/>
          <w:szCs w:val="20"/>
          <w:color w:val="auto"/>
        </w:rPr>
      </w:pPr>
    </w:p>
    <w:tbl>
      <w:tblPr>
        <w:tblLayout w:type="fixed"/>
        <w:tblInd w:w="490" w:type="dxa"/>
        <w:tblCellMar>
          <w:top w:w="0" w:type="dxa"/>
          <w:left w:w="0" w:type="dxa"/>
          <w:bottom w:w="0" w:type="dxa"/>
          <w:right w:w="0" w:type="dxa"/>
        </w:tblCellMar>
      </w:tblPr>
      <w:tr>
        <w:trPr>
          <w:trHeight w:val="248"/>
        </w:trPr>
        <w:tc>
          <w:tcPr>
            <w:tcW w:w="2900" w:type="dxa"/>
            <w:vAlign w:val="bottom"/>
            <w:tcBorders>
              <w:top w:val="single" w:sz="8" w:color="auto"/>
              <w:left w:val="single" w:sz="8" w:color="auto"/>
              <w:right w:val="single" w:sz="8" w:color="auto"/>
            </w:tcBorders>
          </w:tcPr>
          <w:p>
            <w:pPr>
              <w:ind w:left="120"/>
              <w:spacing w:after="0" w:line="248" w:lineRule="exact"/>
              <w:rPr>
                <w:sz w:val="20"/>
                <w:szCs w:val="20"/>
                <w:color w:val="auto"/>
              </w:rPr>
            </w:pPr>
            <w:r>
              <w:rPr>
                <w:rFonts w:ascii="Arial" w:cs="Arial" w:eastAsia="Arial" w:hAnsi="Arial"/>
                <w:sz w:val="22"/>
                <w:szCs w:val="22"/>
                <w:color w:val="auto"/>
              </w:rPr>
              <w:t>Nombre  y  apellidos  del</w:t>
            </w:r>
          </w:p>
        </w:tc>
        <w:tc>
          <w:tcPr>
            <w:tcW w:w="2880" w:type="dxa"/>
            <w:vAlign w:val="bottom"/>
            <w:tcBorders>
              <w:top w:val="single" w:sz="8" w:color="auto"/>
              <w:right w:val="single" w:sz="8" w:color="auto"/>
            </w:tcBorders>
          </w:tcPr>
          <w:p>
            <w:pPr>
              <w:ind w:left="100"/>
              <w:spacing w:after="0" w:line="248" w:lineRule="exact"/>
              <w:rPr>
                <w:sz w:val="20"/>
                <w:szCs w:val="20"/>
                <w:color w:val="auto"/>
              </w:rPr>
            </w:pPr>
            <w:r>
              <w:rPr>
                <w:rFonts w:ascii="Arial" w:cs="Arial" w:eastAsia="Arial" w:hAnsi="Arial"/>
                <w:sz w:val="22"/>
                <w:szCs w:val="22"/>
                <w:color w:val="auto"/>
              </w:rPr>
              <w:t>N.I.F.</w:t>
            </w:r>
          </w:p>
        </w:tc>
        <w:tc>
          <w:tcPr>
            <w:tcW w:w="2900" w:type="dxa"/>
            <w:vAlign w:val="bottom"/>
            <w:tcBorders>
              <w:top w:val="single" w:sz="8" w:color="auto"/>
              <w:right w:val="single" w:sz="8" w:color="auto"/>
            </w:tcBorders>
            <w:gridSpan w:val="2"/>
          </w:tcPr>
          <w:p>
            <w:pPr>
              <w:ind w:left="100"/>
              <w:spacing w:after="0" w:line="248" w:lineRule="exact"/>
              <w:rPr>
                <w:sz w:val="20"/>
                <w:szCs w:val="20"/>
                <w:color w:val="auto"/>
              </w:rPr>
            </w:pPr>
            <w:r>
              <w:rPr>
                <w:rFonts w:ascii="Arial" w:cs="Arial" w:eastAsia="Arial" w:hAnsi="Arial"/>
                <w:sz w:val="22"/>
                <w:szCs w:val="22"/>
                <w:color w:val="auto"/>
              </w:rPr>
              <w:t>Importe total ___ mes</w:t>
            </w:r>
          </w:p>
        </w:tc>
      </w:tr>
      <w:tr>
        <w:trPr>
          <w:trHeight w:val="268"/>
        </w:trPr>
        <w:tc>
          <w:tcPr>
            <w:tcW w:w="2900" w:type="dxa"/>
            <w:vAlign w:val="bottom"/>
            <w:tcBorders>
              <w:left w:val="single" w:sz="8" w:color="auto"/>
              <w:bottom w:val="single" w:sz="8" w:color="auto"/>
              <w:right w:val="single" w:sz="8" w:color="auto"/>
            </w:tcBorders>
          </w:tcPr>
          <w:p>
            <w:pPr>
              <w:ind w:left="120"/>
              <w:spacing w:after="0"/>
              <w:rPr>
                <w:sz w:val="20"/>
                <w:szCs w:val="20"/>
                <w:color w:val="auto"/>
              </w:rPr>
            </w:pPr>
            <w:r>
              <w:rPr>
                <w:rFonts w:ascii="Arial" w:cs="Arial" w:eastAsia="Arial" w:hAnsi="Arial"/>
                <w:sz w:val="22"/>
                <w:szCs w:val="22"/>
                <w:color w:val="auto"/>
              </w:rPr>
              <w:t>usuario</w:t>
            </w:r>
          </w:p>
        </w:tc>
        <w:tc>
          <w:tcPr>
            <w:tcW w:w="2880" w:type="dxa"/>
            <w:vAlign w:val="bottom"/>
            <w:tcBorders>
              <w:bottom w:val="single" w:sz="8" w:color="auto"/>
              <w:right w:val="single" w:sz="8" w:color="auto"/>
            </w:tcBorders>
          </w:tcPr>
          <w:p>
            <w:pPr>
              <w:spacing w:after="0"/>
              <w:rPr>
                <w:sz w:val="23"/>
                <w:szCs w:val="23"/>
                <w:color w:val="auto"/>
              </w:rPr>
            </w:pPr>
          </w:p>
        </w:tc>
        <w:tc>
          <w:tcPr>
            <w:tcW w:w="560" w:type="dxa"/>
            <w:vAlign w:val="bottom"/>
            <w:tcBorders>
              <w:bottom w:val="single" w:sz="8" w:color="auto"/>
            </w:tcBorders>
          </w:tcPr>
          <w:p>
            <w:pPr>
              <w:spacing w:after="0"/>
              <w:rPr>
                <w:sz w:val="23"/>
                <w:szCs w:val="23"/>
                <w:color w:val="auto"/>
              </w:rPr>
            </w:pPr>
          </w:p>
        </w:tc>
        <w:tc>
          <w:tcPr>
            <w:tcW w:w="2340" w:type="dxa"/>
            <w:vAlign w:val="bottom"/>
            <w:tcBorders>
              <w:bottom w:val="single" w:sz="8" w:color="auto"/>
              <w:right w:val="single" w:sz="8" w:color="auto"/>
            </w:tcBorders>
          </w:tcPr>
          <w:p>
            <w:pPr>
              <w:spacing w:after="0"/>
              <w:rPr>
                <w:sz w:val="23"/>
                <w:szCs w:val="23"/>
                <w:color w:val="auto"/>
              </w:rPr>
            </w:pP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spacing w:after="0"/>
              <w:rPr>
                <w:sz w:val="21"/>
                <w:szCs w:val="21"/>
                <w:color w:val="auto"/>
              </w:rPr>
            </w:pPr>
          </w:p>
        </w:tc>
        <w:tc>
          <w:tcPr>
            <w:tcW w:w="560" w:type="dxa"/>
            <w:vAlign w:val="bottom"/>
            <w:tcBorders>
              <w:bottom w:val="single" w:sz="8" w:color="auto"/>
            </w:tcBorders>
          </w:tcPr>
          <w:p>
            <w:pPr>
              <w:ind w:left="100"/>
              <w:spacing w:after="0" w:line="243" w:lineRule="exact"/>
              <w:rPr>
                <w:sz w:val="20"/>
                <w:szCs w:val="20"/>
                <w:color w:val="auto"/>
              </w:rPr>
            </w:pPr>
            <w:r>
              <w:rPr>
                <w:rFonts w:ascii="Arial" w:cs="Arial" w:eastAsia="Arial" w:hAnsi="Arial"/>
                <w:sz w:val="22"/>
                <w:szCs w:val="22"/>
                <w:color w:val="auto"/>
              </w:rPr>
              <w:t>0,00</w:t>
            </w:r>
          </w:p>
        </w:tc>
        <w:tc>
          <w:tcPr>
            <w:tcW w:w="2340" w:type="dxa"/>
            <w:vAlign w:val="bottom"/>
            <w:tcBorders>
              <w:bottom w:val="single" w:sz="8" w:color="auto"/>
              <w:right w:val="single" w:sz="8" w:color="auto"/>
            </w:tcBorders>
          </w:tcPr>
          <w:p>
            <w:pPr>
              <w:ind w:left="40"/>
              <w:spacing w:after="0" w:line="243" w:lineRule="exact"/>
              <w:rPr>
                <w:sz w:val="20"/>
                <w:szCs w:val="20"/>
                <w:color w:val="auto"/>
              </w:rPr>
            </w:pPr>
            <w:r>
              <w:rPr>
                <w:rFonts w:ascii="Arial" w:cs="Arial" w:eastAsia="Arial" w:hAnsi="Arial"/>
                <w:sz w:val="22"/>
                <w:szCs w:val="22"/>
                <w:color w:val="auto"/>
              </w:rPr>
              <w:t>€</w:t>
            </w: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spacing w:after="0"/>
              <w:rPr>
                <w:sz w:val="21"/>
                <w:szCs w:val="21"/>
                <w:color w:val="auto"/>
              </w:rPr>
            </w:pPr>
          </w:p>
        </w:tc>
        <w:tc>
          <w:tcPr>
            <w:tcW w:w="560" w:type="dxa"/>
            <w:vAlign w:val="bottom"/>
            <w:tcBorders>
              <w:bottom w:val="single" w:sz="8" w:color="auto"/>
            </w:tcBorders>
          </w:tcPr>
          <w:p>
            <w:pPr>
              <w:spacing w:after="0"/>
              <w:rPr>
                <w:sz w:val="21"/>
                <w:szCs w:val="21"/>
                <w:color w:val="auto"/>
              </w:rPr>
            </w:pPr>
          </w:p>
        </w:tc>
        <w:tc>
          <w:tcPr>
            <w:tcW w:w="2340" w:type="dxa"/>
            <w:vAlign w:val="bottom"/>
            <w:tcBorders>
              <w:bottom w:val="single" w:sz="8" w:color="auto"/>
              <w:right w:val="single" w:sz="8" w:color="auto"/>
            </w:tcBorders>
          </w:tcPr>
          <w:p>
            <w:pPr>
              <w:spacing w:after="0"/>
              <w:rPr>
                <w:sz w:val="21"/>
                <w:szCs w:val="21"/>
                <w:color w:val="auto"/>
              </w:rPr>
            </w:pP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spacing w:after="0"/>
              <w:rPr>
                <w:sz w:val="21"/>
                <w:szCs w:val="21"/>
                <w:color w:val="auto"/>
              </w:rPr>
            </w:pPr>
          </w:p>
        </w:tc>
        <w:tc>
          <w:tcPr>
            <w:tcW w:w="560" w:type="dxa"/>
            <w:vAlign w:val="bottom"/>
            <w:tcBorders>
              <w:bottom w:val="single" w:sz="8" w:color="auto"/>
            </w:tcBorders>
          </w:tcPr>
          <w:p>
            <w:pPr>
              <w:spacing w:after="0"/>
              <w:rPr>
                <w:sz w:val="21"/>
                <w:szCs w:val="21"/>
                <w:color w:val="auto"/>
              </w:rPr>
            </w:pPr>
          </w:p>
        </w:tc>
        <w:tc>
          <w:tcPr>
            <w:tcW w:w="2340" w:type="dxa"/>
            <w:vAlign w:val="bottom"/>
            <w:tcBorders>
              <w:bottom w:val="single" w:sz="8" w:color="auto"/>
              <w:right w:val="single" w:sz="8" w:color="auto"/>
            </w:tcBorders>
          </w:tcPr>
          <w:p>
            <w:pPr>
              <w:spacing w:after="0"/>
              <w:rPr>
                <w:sz w:val="21"/>
                <w:szCs w:val="21"/>
                <w:color w:val="auto"/>
              </w:rPr>
            </w:pP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spacing w:after="0"/>
              <w:rPr>
                <w:sz w:val="21"/>
                <w:szCs w:val="21"/>
                <w:color w:val="auto"/>
              </w:rPr>
            </w:pPr>
          </w:p>
        </w:tc>
        <w:tc>
          <w:tcPr>
            <w:tcW w:w="560" w:type="dxa"/>
            <w:vAlign w:val="bottom"/>
            <w:tcBorders>
              <w:bottom w:val="single" w:sz="8" w:color="auto"/>
            </w:tcBorders>
          </w:tcPr>
          <w:p>
            <w:pPr>
              <w:spacing w:after="0"/>
              <w:rPr>
                <w:sz w:val="21"/>
                <w:szCs w:val="21"/>
                <w:color w:val="auto"/>
              </w:rPr>
            </w:pPr>
          </w:p>
        </w:tc>
        <w:tc>
          <w:tcPr>
            <w:tcW w:w="2340" w:type="dxa"/>
            <w:vAlign w:val="bottom"/>
            <w:tcBorders>
              <w:bottom w:val="single" w:sz="8" w:color="auto"/>
              <w:right w:val="single" w:sz="8" w:color="auto"/>
            </w:tcBorders>
          </w:tcPr>
          <w:p>
            <w:pPr>
              <w:spacing w:after="0"/>
              <w:rPr>
                <w:sz w:val="21"/>
                <w:szCs w:val="21"/>
                <w:color w:val="auto"/>
              </w:rPr>
            </w:pP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spacing w:after="0"/>
              <w:rPr>
                <w:sz w:val="21"/>
                <w:szCs w:val="21"/>
                <w:color w:val="auto"/>
              </w:rPr>
            </w:pPr>
          </w:p>
        </w:tc>
        <w:tc>
          <w:tcPr>
            <w:tcW w:w="560" w:type="dxa"/>
            <w:vAlign w:val="bottom"/>
            <w:tcBorders>
              <w:bottom w:val="single" w:sz="8" w:color="auto"/>
            </w:tcBorders>
          </w:tcPr>
          <w:p>
            <w:pPr>
              <w:spacing w:after="0"/>
              <w:rPr>
                <w:sz w:val="21"/>
                <w:szCs w:val="21"/>
                <w:color w:val="auto"/>
              </w:rPr>
            </w:pPr>
          </w:p>
        </w:tc>
        <w:tc>
          <w:tcPr>
            <w:tcW w:w="2340" w:type="dxa"/>
            <w:vAlign w:val="bottom"/>
            <w:tcBorders>
              <w:bottom w:val="single" w:sz="8" w:color="auto"/>
              <w:right w:val="single" w:sz="8" w:color="auto"/>
            </w:tcBorders>
          </w:tcPr>
          <w:p>
            <w:pPr>
              <w:spacing w:after="0"/>
              <w:rPr>
                <w:sz w:val="21"/>
                <w:szCs w:val="21"/>
                <w:color w:val="auto"/>
              </w:rPr>
            </w:pP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spacing w:after="0"/>
              <w:rPr>
                <w:sz w:val="21"/>
                <w:szCs w:val="21"/>
                <w:color w:val="auto"/>
              </w:rPr>
            </w:pPr>
          </w:p>
        </w:tc>
        <w:tc>
          <w:tcPr>
            <w:tcW w:w="560" w:type="dxa"/>
            <w:vAlign w:val="bottom"/>
            <w:tcBorders>
              <w:bottom w:val="single" w:sz="8" w:color="auto"/>
            </w:tcBorders>
          </w:tcPr>
          <w:p>
            <w:pPr>
              <w:spacing w:after="0"/>
              <w:rPr>
                <w:sz w:val="21"/>
                <w:szCs w:val="21"/>
                <w:color w:val="auto"/>
              </w:rPr>
            </w:pPr>
          </w:p>
        </w:tc>
        <w:tc>
          <w:tcPr>
            <w:tcW w:w="2340" w:type="dxa"/>
            <w:vAlign w:val="bottom"/>
            <w:tcBorders>
              <w:bottom w:val="single" w:sz="8" w:color="auto"/>
              <w:right w:val="single" w:sz="8" w:color="auto"/>
            </w:tcBorders>
          </w:tcPr>
          <w:p>
            <w:pPr>
              <w:spacing w:after="0"/>
              <w:rPr>
                <w:sz w:val="21"/>
                <w:szCs w:val="21"/>
                <w:color w:val="auto"/>
              </w:rPr>
            </w:pPr>
          </w:p>
        </w:tc>
      </w:tr>
      <w:tr>
        <w:trPr>
          <w:trHeight w:val="243"/>
        </w:trPr>
        <w:tc>
          <w:tcPr>
            <w:tcW w:w="2900" w:type="dxa"/>
            <w:vAlign w:val="bottom"/>
            <w:tcBorders>
              <w:left w:val="single" w:sz="8" w:color="auto"/>
              <w:bottom w:val="single" w:sz="8" w:color="auto"/>
              <w:right w:val="single" w:sz="8" w:color="auto"/>
            </w:tcBorders>
          </w:tcPr>
          <w:p>
            <w:pPr>
              <w:spacing w:after="0"/>
              <w:rPr>
                <w:sz w:val="21"/>
                <w:szCs w:val="21"/>
                <w:color w:val="auto"/>
              </w:rPr>
            </w:pPr>
          </w:p>
        </w:tc>
        <w:tc>
          <w:tcPr>
            <w:tcW w:w="2880" w:type="dxa"/>
            <w:vAlign w:val="bottom"/>
            <w:tcBorders>
              <w:bottom w:val="single" w:sz="8" w:color="auto"/>
              <w:right w:val="single" w:sz="8" w:color="auto"/>
            </w:tcBorders>
          </w:tcPr>
          <w:p>
            <w:pPr>
              <w:ind w:left="2280"/>
              <w:spacing w:after="0" w:line="243" w:lineRule="exact"/>
              <w:rPr>
                <w:sz w:val="20"/>
                <w:szCs w:val="20"/>
                <w:color w:val="auto"/>
              </w:rPr>
            </w:pPr>
            <w:r>
              <w:rPr>
                <w:rFonts w:ascii="Arial" w:cs="Arial" w:eastAsia="Arial" w:hAnsi="Arial"/>
                <w:sz w:val="22"/>
                <w:szCs w:val="22"/>
                <w:color w:val="auto"/>
              </w:rPr>
              <w:t>Total</w:t>
            </w:r>
          </w:p>
        </w:tc>
        <w:tc>
          <w:tcPr>
            <w:tcW w:w="560" w:type="dxa"/>
            <w:vAlign w:val="bottom"/>
            <w:tcBorders>
              <w:bottom w:val="single" w:sz="8" w:color="auto"/>
            </w:tcBorders>
          </w:tcPr>
          <w:p>
            <w:pPr>
              <w:ind w:left="100"/>
              <w:spacing w:after="0" w:line="243" w:lineRule="exact"/>
              <w:rPr>
                <w:sz w:val="20"/>
                <w:szCs w:val="20"/>
                <w:color w:val="auto"/>
              </w:rPr>
            </w:pPr>
            <w:r>
              <w:rPr>
                <w:rFonts w:ascii="Arial" w:cs="Arial" w:eastAsia="Arial" w:hAnsi="Arial"/>
                <w:sz w:val="22"/>
                <w:szCs w:val="22"/>
                <w:color w:val="auto"/>
              </w:rPr>
              <w:t>0,00</w:t>
            </w:r>
          </w:p>
        </w:tc>
        <w:tc>
          <w:tcPr>
            <w:tcW w:w="2340" w:type="dxa"/>
            <w:vAlign w:val="bottom"/>
            <w:tcBorders>
              <w:bottom w:val="single" w:sz="8" w:color="auto"/>
              <w:right w:val="single" w:sz="8" w:color="auto"/>
            </w:tcBorders>
          </w:tcPr>
          <w:p>
            <w:pPr>
              <w:ind w:left="40"/>
              <w:spacing w:after="0" w:line="243" w:lineRule="exact"/>
              <w:rPr>
                <w:sz w:val="20"/>
                <w:szCs w:val="20"/>
                <w:color w:val="auto"/>
              </w:rPr>
            </w:pPr>
            <w:r>
              <w:rPr>
                <w:rFonts w:ascii="Arial" w:cs="Arial" w:eastAsia="Arial" w:hAnsi="Arial"/>
                <w:sz w:val="22"/>
                <w:szCs w:val="22"/>
                <w:color w:val="auto"/>
              </w:rPr>
              <w:t>Euros</w:t>
            </w:r>
          </w:p>
        </w:tc>
      </w:tr>
    </w:tbl>
    <w:p>
      <w:pPr>
        <w:spacing w:after="0" w:line="200" w:lineRule="exact"/>
        <w:rPr>
          <w:sz w:val="20"/>
          <w:szCs w:val="20"/>
          <w:color w:val="auto"/>
        </w:rPr>
      </w:pPr>
    </w:p>
    <w:p>
      <w:pPr>
        <w:spacing w:after="0" w:line="276" w:lineRule="exact"/>
        <w:rPr>
          <w:sz w:val="20"/>
          <w:szCs w:val="20"/>
          <w:color w:val="auto"/>
        </w:rPr>
      </w:pPr>
    </w:p>
    <w:p>
      <w:pPr>
        <w:spacing w:after="0"/>
        <w:rPr>
          <w:sz w:val="20"/>
          <w:szCs w:val="20"/>
          <w:color w:val="auto"/>
        </w:rPr>
      </w:pPr>
      <w:r>
        <w:rPr>
          <w:rFonts w:ascii="Arial" w:cs="Arial" w:eastAsia="Arial" w:hAnsi="Arial"/>
          <w:sz w:val="22"/>
          <w:szCs w:val="22"/>
          <w:color w:val="auto"/>
        </w:rPr>
        <w:t>Y para que conste y surta los efectos oportunos, expido la presente con el visto bueno del ______-</w:t>
      </w:r>
    </w:p>
    <w:p>
      <w:pPr>
        <w:spacing w:after="0" w:line="22" w:lineRule="exact"/>
        <w:rPr>
          <w:sz w:val="20"/>
          <w:szCs w:val="20"/>
          <w:color w:val="auto"/>
        </w:rPr>
      </w:pPr>
    </w:p>
    <w:p>
      <w:pPr>
        <w:ind w:left="3980"/>
        <w:spacing w:after="0"/>
        <w:rPr>
          <w:sz w:val="20"/>
          <w:szCs w:val="20"/>
          <w:color w:val="auto"/>
        </w:rPr>
      </w:pPr>
      <w:r>
        <w:rPr>
          <w:rFonts w:ascii="Arial" w:cs="Arial" w:eastAsia="Arial" w:hAnsi="Arial"/>
          <w:sz w:val="22"/>
          <w:szCs w:val="22"/>
          <w:color w:val="auto"/>
        </w:rPr>
        <w:t>_____________,</w:t>
      </w:r>
    </w:p>
    <w:p>
      <w:pPr>
        <w:spacing w:after="0" w:line="231" w:lineRule="exact"/>
        <w:rPr>
          <w:sz w:val="20"/>
          <w:szCs w:val="20"/>
          <w:color w:val="auto"/>
        </w:rPr>
      </w:pPr>
    </w:p>
    <w:p>
      <w:pPr>
        <w:ind w:left="1500"/>
        <w:spacing w:after="0"/>
        <w:tabs>
          <w:tab w:leader="none" w:pos="8040" w:val="left"/>
        </w:tabs>
        <w:rPr>
          <w:sz w:val="20"/>
          <w:szCs w:val="20"/>
          <w:color w:val="auto"/>
        </w:rPr>
      </w:pPr>
      <w:r>
        <w:rPr>
          <w:rFonts w:ascii="Arial" w:cs="Arial" w:eastAsia="Arial" w:hAnsi="Arial"/>
          <w:sz w:val="22"/>
          <w:szCs w:val="22"/>
          <w:color w:val="auto"/>
        </w:rPr>
        <w:t>en ________________, a ____, de __________________, de 20</w:t>
      </w:r>
      <w:r>
        <w:rPr>
          <w:sz w:val="20"/>
          <w:szCs w:val="20"/>
          <w:color w:val="auto"/>
        </w:rPr>
        <w:tab/>
      </w:r>
      <w:r>
        <w:rPr>
          <w:rFonts w:ascii="Arial" w:cs="Arial" w:eastAsia="Arial" w:hAnsi="Arial"/>
          <w:sz w:val="21"/>
          <w:szCs w:val="21"/>
          <w:color w:val="auto"/>
        </w:rPr>
        <w:t>.</w:t>
      </w:r>
    </w:p>
    <w:p>
      <w:pPr>
        <w:spacing w:after="0" w:line="253" w:lineRule="exact"/>
        <w:rPr>
          <w:sz w:val="20"/>
          <w:szCs w:val="20"/>
          <w:color w:val="auto"/>
        </w:rPr>
      </w:pPr>
    </w:p>
    <w:p>
      <w:pPr>
        <w:ind w:left="1700"/>
        <w:spacing w:after="0"/>
        <w:rPr>
          <w:sz w:val="20"/>
          <w:szCs w:val="20"/>
          <w:color w:val="auto"/>
        </w:rPr>
      </w:pPr>
      <w:r>
        <w:rPr>
          <w:rFonts w:ascii="Arial" w:cs="Arial" w:eastAsia="Arial" w:hAnsi="Arial"/>
          <w:sz w:val="22"/>
          <w:szCs w:val="22"/>
          <w:color w:val="auto"/>
        </w:rPr>
        <w:t>Vº Bº</w:t>
      </w:r>
    </w:p>
    <w:p>
      <w:pPr>
        <w:spacing w:after="0" w:line="22" w:lineRule="exact"/>
        <w:rPr>
          <w:sz w:val="20"/>
          <w:szCs w:val="20"/>
          <w:color w:val="auto"/>
        </w:rPr>
      </w:pPr>
    </w:p>
    <w:p>
      <w:pPr>
        <w:ind w:left="1040"/>
        <w:spacing w:after="0"/>
        <w:rPr>
          <w:sz w:val="20"/>
          <w:szCs w:val="20"/>
          <w:color w:val="auto"/>
        </w:rPr>
      </w:pPr>
      <w:r>
        <w:rPr>
          <w:rFonts w:ascii="Arial" w:cs="Arial" w:eastAsia="Arial" w:hAnsi="Arial"/>
          <w:sz w:val="22"/>
          <w:szCs w:val="22"/>
          <w:color w:val="auto"/>
        </w:rPr>
        <w:t>Presidente/a – Director/a</w:t>
      </w:r>
    </w:p>
    <w:p>
      <w:pPr>
        <w:spacing w:after="0"/>
        <w:tabs>
          <w:tab w:leader="none" w:pos="7060" w:val="left"/>
        </w:tabs>
        <w:rPr>
          <w:sz w:val="20"/>
          <w:szCs w:val="20"/>
          <w:color w:val="auto"/>
        </w:rPr>
      </w:pPr>
      <w:r>
        <w:rPr>
          <w:rFonts w:ascii="Arial" w:cs="Arial" w:eastAsia="Arial" w:hAnsi="Arial"/>
          <w:sz w:val="22"/>
          <w:szCs w:val="22"/>
          <w:color w:val="auto"/>
        </w:rPr>
        <w:t>(nombre y apellidos del Presidente/a – Director/a)</w:t>
      </w:r>
      <w:r>
        <w:rPr>
          <w:sz w:val="20"/>
          <w:szCs w:val="20"/>
          <w:color w:val="auto"/>
        </w:rPr>
        <w:tab/>
      </w:r>
      <w:r>
        <w:rPr>
          <w:rFonts w:ascii="Arial" w:cs="Arial" w:eastAsia="Arial" w:hAnsi="Arial"/>
          <w:sz w:val="22"/>
          <w:szCs w:val="22"/>
          <w:color w:val="auto"/>
        </w:rPr>
        <w:t>Firma y sello Secretario/a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spacing w:after="0"/>
        <w:rPr>
          <w:sz w:val="20"/>
          <w:szCs w:val="20"/>
          <w:color w:val="auto"/>
        </w:rPr>
      </w:pPr>
      <w:r>
        <w:rPr>
          <w:rFonts w:ascii="Arial" w:cs="Arial" w:eastAsia="Arial" w:hAnsi="Arial"/>
          <w:sz w:val="22"/>
          <w:szCs w:val="22"/>
          <w:b w:val="1"/>
          <w:bCs w:val="1"/>
          <w:color w:val="auto"/>
        </w:rPr>
        <w:t xml:space="preserve">Quinto.- </w:t>
      </w:r>
      <w:r>
        <w:rPr>
          <w:rFonts w:ascii="Arial" w:cs="Arial" w:eastAsia="Arial" w:hAnsi="Arial"/>
          <w:sz w:val="22"/>
          <w:szCs w:val="22"/>
          <w:color w:val="auto"/>
        </w:rPr>
        <w:t>Registrar la concesión de la subvención en la Base de Datos Nacional de Subvenciones.</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spacing w:after="0" w:line="312" w:lineRule="auto"/>
        <w:rPr>
          <w:sz w:val="20"/>
          <w:szCs w:val="20"/>
          <w:color w:val="auto"/>
        </w:rPr>
      </w:pPr>
      <w:r>
        <w:rPr>
          <w:rFonts w:ascii="Arial" w:cs="Arial" w:eastAsia="Arial" w:hAnsi="Arial"/>
          <w:sz w:val="22"/>
          <w:szCs w:val="22"/>
          <w:b w:val="1"/>
          <w:bCs w:val="1"/>
          <w:color w:val="auto"/>
        </w:rPr>
        <w:t xml:space="preserve">Sexto.- </w:t>
      </w:r>
      <w:r>
        <w:rPr>
          <w:rFonts w:ascii="Arial" w:cs="Arial" w:eastAsia="Arial" w:hAnsi="Arial"/>
          <w:sz w:val="22"/>
          <w:szCs w:val="22"/>
          <w:color w:val="auto"/>
        </w:rPr>
        <w:t>De la presente Resolución se dará cuenta al Sr. Interventor Acctal. de Fondos y se notificará</w:t>
      </w:r>
      <w:r>
        <w:rPr>
          <w:rFonts w:ascii="Arial" w:cs="Arial" w:eastAsia="Arial" w:hAnsi="Arial"/>
          <w:sz w:val="22"/>
          <w:szCs w:val="22"/>
          <w:b w:val="1"/>
          <w:bCs w:val="1"/>
          <w:color w:val="auto"/>
        </w:rPr>
        <w:t xml:space="preserve"> </w:t>
      </w:r>
      <w:r>
        <w:rPr>
          <w:rFonts w:ascii="Arial" w:cs="Arial" w:eastAsia="Arial" w:hAnsi="Arial"/>
          <w:sz w:val="22"/>
          <w:szCs w:val="22"/>
          <w:color w:val="auto"/>
        </w:rPr>
        <w:t>a los beneficiarios.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3"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34</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1043"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1">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p>
      <w:pPr>
        <w:sectPr>
          <w:pgSz w:w="11900" w:h="16838" w:orient="portrait"/>
          <w:cols w:equalWidth="0" w:num="1">
            <w:col w:w="9640"/>
          </w:cols>
          <w:pgMar w:left="1140" w:top="1043" w:right="1126" w:bottom="0" w:gutter="0" w:footer="0" w:header="0"/>
          <w:type w:val="continuous"/>
        </w:sectPr>
      </w:pPr>
    </w:p>
    <w:bookmarkStart w:id="34" w:name="page35"/>
    <w:bookmarkEnd w:id="34"/>
    <w:p>
      <w:pPr>
        <w:jc w:val="both"/>
        <w:ind w:firstLine="708"/>
        <w:spacing w:after="0" w:line="242" w:lineRule="auto"/>
        <w:rPr>
          <w:sz w:val="20"/>
          <w:szCs w:val="20"/>
          <w:color w:val="auto"/>
        </w:rPr>
      </w:pPr>
      <w:r>
        <w:rPr>
          <w:rFonts w:ascii="Arial" w:cs="Arial" w:eastAsia="Arial" w:hAnsi="Arial"/>
          <w:sz w:val="22"/>
          <w:szCs w:val="22"/>
          <w:color w:val="auto"/>
        </w:rPr>
        <w:t>Contra la presente Resolución, que no agota la vía administrativa, podrá interponer Recurso de Alzada ante el Presidente de la Corporación, de conformidad con el artículo 101 del Reglamento Orgánico de Gobierno, Administración y Funcionamiento de este Excmo. Cabildo Insular y, en concordancia con los artículos 83 y 84 de la Ley 8/2015, de 1 de abril, de cabildos insulares, en el plazo de UN MES, contado a partir del día siguiente al de su notificación, de conformidad con lo dispuesto en los artículos 122 y 30.4 de la Ley 39/2015 de 1 de octubre, del Procedimiento Administrativo Común de las Administraciones Públicas. No obstante, el interesado podrá ejercitar cualquier otro que estime oportuno en defensa de sus derechos. Todo lo anterior, sin perjuicio de lo establecido en la disposición adicional tercera del Real Decreto 463/2020, de 14 de marzo, (BOE n º67 de 14 de marzo) por el que se declara el estado de alarma para la gestión de la situación de crisis sanitaria ocasionada por el COVID-19, modificada por el RD 465/2020 de 17 de marzo, y cuantas disposiciones que sean de aplicación relativas a la suspensión de plazos administrativos, así como la Disposición adicional segunda del citado Real Decreto 463/2020, de 14 de marzo sobre la suspensión plazos procesales.</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6" w:lineRule="exact"/>
        <w:rPr>
          <w:sz w:val="20"/>
          <w:szCs w:val="20"/>
          <w:color w:val="auto"/>
        </w:rPr>
      </w:pPr>
    </w:p>
    <w:p>
      <w:pPr>
        <w:ind w:left="3100"/>
        <w:spacing w:after="0"/>
        <w:rPr>
          <w:sz w:val="20"/>
          <w:szCs w:val="20"/>
          <w:color w:val="auto"/>
        </w:rPr>
      </w:pPr>
      <w:r>
        <w:rPr>
          <w:rFonts w:ascii="Arial" w:cs="Arial" w:eastAsia="Arial" w:hAnsi="Arial"/>
          <w:sz w:val="23"/>
          <w:szCs w:val="23"/>
          <w:color w:val="auto"/>
        </w:rPr>
        <w:t>Firmado electrónicamente el día</w:t>
      </w:r>
    </w:p>
    <w:p>
      <w:pPr>
        <w:ind w:left="3100"/>
        <w:spacing w:after="0"/>
        <w:rPr>
          <w:sz w:val="20"/>
          <w:szCs w:val="20"/>
          <w:color w:val="auto"/>
        </w:rPr>
      </w:pPr>
      <w:r>
        <w:rPr>
          <w:rFonts w:ascii="Arial" w:cs="Arial" w:eastAsia="Arial" w:hAnsi="Arial"/>
          <w:sz w:val="23"/>
          <w:szCs w:val="23"/>
          <w:color w:val="auto"/>
        </w:rPr>
        <w:t>22/04/2020 a las 8:38:54 por</w:t>
      </w:r>
    </w:p>
    <w:p>
      <w:pPr>
        <w:jc w:val="center"/>
        <w:ind w:right="100"/>
        <w:spacing w:after="0" w:line="220" w:lineRule="auto"/>
        <w:rPr>
          <w:sz w:val="20"/>
          <w:szCs w:val="20"/>
          <w:color w:val="auto"/>
        </w:rPr>
      </w:pPr>
      <w:r>
        <w:rPr>
          <w:rFonts w:ascii="Arial" w:cs="Arial" w:eastAsia="Arial" w:hAnsi="Arial"/>
          <w:sz w:val="23"/>
          <w:szCs w:val="23"/>
          <w:color w:val="auto"/>
        </w:rPr>
        <w:t>MARIA NIEVES PEREZ PEREZ</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400"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23"/>
          <w:szCs w:val="23"/>
          <w:color w:val="auto"/>
        </w:rPr>
        <w:t xml:space="preserve">Página </w:t>
      </w:r>
      <w:r>
        <w:rPr>
          <w:rFonts w:ascii="Times New Roman" w:cs="Times New Roman" w:eastAsia="Times New Roman" w:hAnsi="Times New Roman"/>
          <w:sz w:val="23"/>
          <w:szCs w:val="23"/>
          <w:b w:val="1"/>
          <w:bCs w:val="1"/>
          <w:color w:val="auto"/>
        </w:rPr>
        <w:t>35</w:t>
      </w:r>
      <w:r>
        <w:rPr>
          <w:rFonts w:ascii="Times New Roman" w:cs="Times New Roman" w:eastAsia="Times New Roman" w:hAnsi="Times New Roman"/>
          <w:sz w:val="23"/>
          <w:szCs w:val="23"/>
          <w:color w:val="auto"/>
        </w:rPr>
        <w:t xml:space="preserve"> de </w:t>
      </w:r>
      <w:r>
        <w:rPr>
          <w:rFonts w:ascii="Times New Roman" w:cs="Times New Roman" w:eastAsia="Times New Roman" w:hAnsi="Times New Roman"/>
          <w:sz w:val="23"/>
          <w:szCs w:val="23"/>
          <w:b w:val="1"/>
          <w:bCs w:val="1"/>
          <w:color w:val="auto"/>
        </w:rPr>
        <w:t>35</w:t>
      </w:r>
    </w:p>
    <w:p>
      <w:pPr>
        <w:sectPr>
          <w:pgSz w:w="11900" w:h="16838" w:orient="portrait"/>
          <w:cols w:equalWidth="0" w:num="1">
            <w:col w:w="9640"/>
          </w:cols>
          <w:pgMar w:left="1140" w:top="552" w:right="1126"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660" w:right="1780"/>
        <w:spacing w:after="0" w:line="257" w:lineRule="auto"/>
        <w:rPr>
          <w:sz w:val="20"/>
          <w:szCs w:val="20"/>
          <w:color w:val="auto"/>
        </w:rPr>
      </w:pPr>
      <w:r>
        <w:rPr>
          <w:rFonts w:ascii="Arial" w:cs="Arial" w:eastAsia="Arial" w:hAnsi="Arial"/>
          <w:sz w:val="16"/>
          <w:szCs w:val="16"/>
          <w:color w:val="auto"/>
        </w:rPr>
        <w:t>Cabildo Insular de La Palma. El registro realizado está amparado en el Artículo 16 de la Ley 39/2015. Código de verificación electrónica: 13066156560367573744 https://sedeelectronica.cabildodelapalma.es/validar/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-276860</wp:posOffset>
            </wp:positionH>
            <wp:positionV relativeFrom="paragraph">
              <wp:posOffset>-374015</wp:posOffset>
            </wp:positionV>
            <wp:extent cx="6577965" cy="36322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2">
                      <a:extLst>
                        <a:ext uri="{28A0092B-C50C-407E-A947-70E740481C1C}"/>
                      </a:extLst>
                    </a:blip>
                    <a:srcRect/>
                    <a:stretch>
                      <a:fillRect/>
                    </a:stretch>
                  </pic:blipFill>
                  <pic:spPr bwMode="auto">
                    <a:xfrm>
                      <a:off x="0" y="0"/>
                      <a:ext cx="6577965" cy="363220"/>
                    </a:xfrm>
                    <a:prstGeom prst="rect">
                      <a:avLst/>
                    </a:prstGeom>
                    <a:noFill/>
                  </pic:spPr>
                </pic:pic>
              </a:graphicData>
            </a:graphic>
          </wp:anchor>
        </w:drawing>
      </w:r>
    </w:p>
    <w:sectPr>
      <w:pgSz w:w="11900" w:h="16838" w:orient="portrait"/>
      <w:cols w:equalWidth="0" w:num="1">
        <w:col w:w="9640"/>
      </w:cols>
      <w:pgMar w:left="1140" w:top="552" w:right="1126" w:bottom="0"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numbering.xml><?xml version="1.0" encoding="utf-8"?>
<w:numbering xmlns:w="http://schemas.openxmlformats.org/wordprocessingml/2006/main">
  <w:abstractNum w:abstractNumId="0">
    <w:nsid w:val="DED7263"/>
    <w:multiLevelType w:val="hybridMultilevel"/>
    <w:lvl w:ilvl="0">
      <w:lvlJc w:val="left"/>
      <w:lvlText w:val="-"/>
      <w:numFmt w:val="bullet"/>
      <w:start w:val="1"/>
    </w:lvl>
  </w:abstractNum>
  <w:abstractNum w:abstractNumId="1">
    <w:nsid w:val="7FDCC233"/>
    <w:multiLevelType w:val="hybridMultilevel"/>
    <w:lvl w:ilvl="0">
      <w:lvlJc w:val="left"/>
      <w:lvlText w:val="%1."/>
      <w:numFmt w:val="decimal"/>
      <w:start w:val="1"/>
    </w:lvl>
  </w:abstractNum>
  <w:abstractNum w:abstractNumId="2">
    <w:nsid w:val="1BEFD79F"/>
    <w:multiLevelType w:val="hybridMultilevel"/>
    <w:lvl w:ilvl="0">
      <w:lvlJc w:val="left"/>
      <w:lvlText w:val="%1."/>
      <w:numFmt w:val="decimal"/>
      <w:start w:val="4"/>
    </w:lvl>
  </w:abstractNum>
  <w:abstractNum w:abstractNumId="3">
    <w:nsid w:val="41A7C4C9"/>
    <w:multiLevelType w:val="hybridMultilevel"/>
    <w:lvl w:ilvl="0">
      <w:lvlJc w:val="left"/>
      <w:lvlText w:val="%1."/>
      <w:numFmt w:val="decimal"/>
      <w:start w:val="6"/>
    </w:lvl>
  </w:abstractNum>
  <w:abstractNum w:abstractNumId="4">
    <w:nsid w:val="6B68079A"/>
    <w:multiLevelType w:val="hybridMultilevel"/>
    <w:lvl w:ilvl="0">
      <w:lvlJc w:val="left"/>
      <w:lvlText w:val="%1."/>
      <w:numFmt w:val="decimal"/>
      <w:start w:val="1"/>
    </w:lvl>
  </w:abstractNum>
  <w:abstractNum w:abstractNumId="5">
    <w:nsid w:val="4E6AFB66"/>
    <w:multiLevelType w:val="hybridMultilevel"/>
    <w:lvl w:ilvl="0">
      <w:lvlJc w:val="left"/>
      <w:lvlText w:val="%1)"/>
      <w:numFmt w:val="lowerLetter"/>
      <w:start w:val="1"/>
    </w:lvl>
  </w:abstractNum>
  <w:abstractNum w:abstractNumId="6">
    <w:nsid w:val="25E45D32"/>
    <w:multiLevelType w:val="hybridMultilevel"/>
    <w:lvl w:ilvl="0">
      <w:lvlJc w:val="left"/>
      <w:lvlText w:val="%1)"/>
      <w:numFmt w:val="lowerLetter"/>
      <w:start w:val="3"/>
    </w:lvl>
  </w:abstractNum>
  <w:abstractNum w:abstractNumId="7">
    <w:nsid w:val="519B500D"/>
    <w:multiLevelType w:val="hybridMultilevel"/>
    <w:lvl w:ilvl="0">
      <w:lvlJc w:val="left"/>
      <w:lvlText w:val="%1)"/>
      <w:numFmt w:val="lowerLetter"/>
      <w:start w:val="1"/>
    </w:lvl>
  </w:abstractNum>
  <w:abstractNum w:abstractNumId="8">
    <w:nsid w:val="431BD7B7"/>
    <w:multiLevelType w:val="hybridMultilevel"/>
    <w:lvl w:ilvl="0">
      <w:lvlJc w:val="left"/>
      <w:lvlText w:val="%1)"/>
      <w:numFmt w:val="lowerLetter"/>
      <w:start w:val="1"/>
    </w:lvl>
    <w:lvl w:ilvl="1">
      <w:lvlJc w:val="left"/>
      <w:lvlText w:val="%2."/>
      <w:numFmt w:val="decimal"/>
      <w:start w:val="1"/>
    </w:lvl>
  </w:abstractNum>
  <w:abstractNum w:abstractNumId="9">
    <w:nsid w:val="3F2DBA31"/>
    <w:multiLevelType w:val="hybridMultilevel"/>
    <w:lvl w:ilvl="0">
      <w:lvlJc w:val="left"/>
      <w:lvlText w:val="%1)"/>
      <w:numFmt w:val="decimal"/>
      <w:start w:val="1"/>
    </w:lvl>
  </w:abstractNum>
  <w:abstractNum w:abstractNumId="10">
    <w:nsid w:val="7C83E458"/>
    <w:multiLevelType w:val="hybridMultilevel"/>
    <w:lvl w:ilvl="0">
      <w:lvlJc w:val="left"/>
      <w:lvlText w:val="%1)"/>
      <w:numFmt w:val="decimal"/>
      <w:start w:val="3"/>
    </w:lvl>
  </w:abstractNum>
  <w:abstractNum w:abstractNumId="11">
    <w:nsid w:val="257130A3"/>
    <w:multiLevelType w:val="hybridMultilevel"/>
    <w:lvl w:ilvl="0">
      <w:lvlJc w:val="left"/>
      <w:lvlText w:val="%1)"/>
      <w:numFmt w:val="decimal"/>
      <w:start w:val="1"/>
    </w:lvl>
  </w:abstractNum>
  <w:abstractNum w:abstractNumId="12">
    <w:nsid w:val="62BBD95A"/>
    <w:multiLevelType w:val="hybridMultilevel"/>
    <w:lvl w:ilvl="0">
      <w:lvlJc w:val="left"/>
      <w:lvlText w:val="-"/>
      <w:numFmt w:val="bullet"/>
      <w:start w:val="1"/>
    </w:lvl>
  </w:abstractNum>
  <w:abstractNum w:abstractNumId="13">
    <w:nsid w:val="436C6125"/>
    <w:multiLevelType w:val="hybridMultilevel"/>
    <w:lvl w:ilvl="0">
      <w:lvlJc w:val="left"/>
      <w:lvlText w:val="-"/>
      <w:numFmt w:val="bullet"/>
      <w:start w:val="1"/>
    </w:lvl>
  </w:abstractNum>
  <w:abstractNum w:abstractNumId="14">
    <w:nsid w:val="628C895D"/>
    <w:multiLevelType w:val="hybridMultilevel"/>
    <w:lvl w:ilvl="0">
      <w:lvlJc w:val="left"/>
      <w:lvlText w:val="%1)"/>
      <w:numFmt w:val="decimal"/>
      <w:start w:val="2"/>
    </w:lvl>
  </w:abstractNum>
  <w:abstractNum w:abstractNumId="15">
    <w:nsid w:val="333AB105"/>
    <w:multiLevelType w:val="hybridMultilevel"/>
    <w:lvl w:ilvl="0">
      <w:lvlJc w:val="left"/>
      <w:lvlText w:val="%1)"/>
      <w:numFmt w:val="decimal"/>
      <w:start w:val="1"/>
    </w:lvl>
  </w:abstractNum>
  <w:abstractNum w:abstractNumId="16">
    <w:nsid w:val="721DA317"/>
    <w:multiLevelType w:val="hybridMultilevel"/>
    <w:lvl w:ilvl="0">
      <w:lvlJc w:val="left"/>
      <w:lvlText w:val="%1)"/>
      <w:numFmt w:val="upperLetter"/>
      <w:start w:val="1"/>
    </w:lvl>
    <w:lvl w:ilvl="1">
      <w:lvlJc w:val="left"/>
      <w:lvlText w:val="%2."/>
      <w:numFmt w:val="decimal"/>
      <w:start w:val="1"/>
    </w:lvl>
  </w:abstractNum>
  <w:abstractNum w:abstractNumId="17">
    <w:nsid w:val="2443A858"/>
    <w:multiLevelType w:val="hybridMultilevel"/>
    <w:lvl w:ilvl="0">
      <w:lvlJc w:val="left"/>
      <w:lvlText w:val="%1."/>
      <w:numFmt w:val="decimal"/>
      <w:start w:val="2"/>
    </w:lvl>
  </w:abstractNum>
  <w:abstractNum w:abstractNumId="18">
    <w:nsid w:val="2D1D5AE9"/>
    <w:multiLevelType w:val="hybridMultilevel"/>
    <w:lvl w:ilvl="0">
      <w:lvlJc w:val="left"/>
      <w:lvlText w:val="%1)"/>
      <w:numFmt w:val="lowerLetter"/>
      <w:start w:val="1"/>
    </w:lvl>
  </w:abstractNum>
  <w:abstractNum w:abstractNumId="19">
    <w:nsid w:val="6763845E"/>
    <w:multiLevelType w:val="hybridMultilevel"/>
    <w:lvl w:ilvl="0">
      <w:lvlJc w:val="left"/>
      <w:lvlText w:val="%1."/>
      <w:numFmt w:val="decimal"/>
      <w:start w:val="1"/>
    </w:lvl>
  </w:abstractNum>
  <w:abstractNum w:abstractNumId="20">
    <w:nsid w:val="75A2A8D4"/>
    <w:multiLevelType w:val="hybridMultilevel"/>
    <w:lvl w:ilvl="0">
      <w:lvlJc w:val="left"/>
      <w:lvlText w:val="%1."/>
      <w:numFmt w:val="decimal"/>
      <w:start w:val="2"/>
    </w:lvl>
  </w:abstractNum>
  <w:abstractNum w:abstractNumId="21">
    <w:nsid w:val="8EDBDAB"/>
    <w:multiLevelType w:val="hybridMultilevel"/>
    <w:lvl w:ilvl="0">
      <w:lvlJc w:val="left"/>
      <w:lvlText w:val="%1."/>
      <w:numFmt w:val="decimal"/>
      <w:start w:val="1"/>
    </w:lvl>
  </w:abstractNum>
  <w:abstractNum w:abstractNumId="22">
    <w:nsid w:val="79838CB2"/>
    <w:multiLevelType w:val="hybridMultilevel"/>
    <w:lvl w:ilvl="0">
      <w:lvlJc w:val="left"/>
      <w:lvlText w:val="%1."/>
      <w:numFmt w:val="decimal"/>
      <w:start w:val="7"/>
    </w:lvl>
  </w:abstractNum>
  <w:abstractNum w:abstractNumId="23">
    <w:nsid w:val="4353D0CD"/>
    <w:multiLevelType w:val="hybridMultilevel"/>
    <w:lvl w:ilvl="0">
      <w:lvlJc w:val="left"/>
      <w:lvlText w:val="&lt;"/>
      <w:numFmt w:val="bullet"/>
      <w:start w:val="1"/>
    </w:lvl>
  </w:abstractNum>
  <w:abstractNum w:abstractNumId="24">
    <w:nsid w:val="B03E0C6"/>
    <w:multiLevelType w:val="hybridMultilevel"/>
    <w:lvl w:ilvl="0">
      <w:lvlJc w:val="left"/>
      <w:lvlText w:val="%1."/>
      <w:numFmt w:val="decimal"/>
      <w:start w:val="3"/>
    </w:lvl>
  </w:abstractNum>
  <w:abstractNum w:abstractNumId="25">
    <w:nsid w:val="189A769B"/>
    <w:multiLevelType w:val="hybridMultilevel"/>
    <w:lvl w:ilvl="0">
      <w:lvlJc w:val="left"/>
      <w:lvlText w:val="%1."/>
      <w:numFmt w:val="decimal"/>
      <w:start w:val="4"/>
    </w:lvl>
  </w:abstractNum>
  <w:abstractNum w:abstractNumId="26">
    <w:nsid w:val="54E49EB4"/>
    <w:multiLevelType w:val="hybridMultilevel"/>
    <w:lvl w:ilvl="0">
      <w:lvlJc w:val="left"/>
      <w:lvlText w:val="%1."/>
      <w:numFmt w:val="decimal"/>
      <w:start w:val="5"/>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jpeg"/><Relationship Id="rId17" Type="http://schemas.openxmlformats.org/officeDocument/2006/relationships/image" Target="media/image10.png"/><Relationship Id="rId18" Type="http://schemas.openxmlformats.org/officeDocument/2006/relationships/image" Target="media/image11.jpe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image" Target="media/image39.png"/><Relationship Id="rId47" Type="http://schemas.openxmlformats.org/officeDocument/2006/relationships/image" Target="media/image40.png"/><Relationship Id="rId48" Type="http://schemas.openxmlformats.org/officeDocument/2006/relationships/image" Target="media/image41.png"/><Relationship Id="rId49" Type="http://schemas.openxmlformats.org/officeDocument/2006/relationships/image" Target="media/image42.png"/><Relationship Id="rId50" Type="http://schemas.openxmlformats.org/officeDocument/2006/relationships/image" Target="media/image43.png"/><Relationship Id="rId51" Type="http://schemas.openxmlformats.org/officeDocument/2006/relationships/image" Target="media/image44.png"/><Relationship Id="rId52" Type="http://schemas.openxmlformats.org/officeDocument/2006/relationships/image" Target="media/image45.png"/><Relationship Id="rId53" Type="http://schemas.openxmlformats.org/officeDocument/2006/relationships/image" Target="media/image46.png"/><Relationship Id="rId54" Type="http://schemas.openxmlformats.org/officeDocument/2006/relationships/image" Target="media/image47.png"/><Relationship Id="rId55" Type="http://schemas.openxmlformats.org/officeDocument/2006/relationships/image" Target="media/image48.jpeg"/><Relationship Id="rId56" Type="http://schemas.openxmlformats.org/officeDocument/2006/relationships/image" Target="media/image49.png"/><Relationship Id="rId57" Type="http://schemas.openxmlformats.org/officeDocument/2006/relationships/image" Target="media/image50.jpeg"/><Relationship Id="rId58" Type="http://schemas.openxmlformats.org/officeDocument/2006/relationships/image" Target="media/image51.png"/><Relationship Id="rId59" Type="http://schemas.openxmlformats.org/officeDocument/2006/relationships/image" Target="media/image52.jpeg"/><Relationship Id="rId60" Type="http://schemas.openxmlformats.org/officeDocument/2006/relationships/image" Target="media/image53.png"/><Relationship Id="rId61" Type="http://schemas.openxmlformats.org/officeDocument/2006/relationships/image" Target="media/image54.png"/><Relationship Id="rId62" Type="http://schemas.openxmlformats.org/officeDocument/2006/relationships/image" Target="media/image55.pn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2020-06-28T17:19:22Z</dcterms:created>
  <dcterms:modified xsi:type="dcterms:W3CDTF">2020-06-28T17:19:22Z</dcterms:modified>
</cp:coreProperties>
</file>